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442CA" w14:textId="29B118D7" w:rsidR="00B610C9" w:rsidRDefault="00B610C9" w:rsidP="00B610C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r>
        <w:rPr>
          <w:rFonts w:hint="eastAsia"/>
          <w:b/>
          <w:noProof/>
          <w:sz w:val="24"/>
          <w:lang w:eastAsia="zh-CN"/>
        </w:rPr>
        <w:t>bis</w:t>
      </w:r>
      <w:fldSimple w:instr=" DOCPROPERTY  MtgTitle  \* MERGEFORMAT ">
        <w:r>
          <w:rPr>
            <w:b/>
            <w:noProof/>
            <w:sz w:val="24"/>
          </w:rPr>
          <w:t>-e</w:t>
        </w:r>
      </w:fldSimple>
      <w:r>
        <w:rPr>
          <w:b/>
          <w:i/>
          <w:noProof/>
          <w:sz w:val="28"/>
        </w:rPr>
        <w:tab/>
      </w:r>
      <w:r w:rsidR="008278D4" w:rsidRPr="008278D4">
        <w:rPr>
          <w:b/>
          <w:noProof/>
          <w:sz w:val="24"/>
        </w:rPr>
        <w:t>R4-2104834</w:t>
      </w:r>
    </w:p>
    <w:p w14:paraId="25C2EAB1" w14:textId="77777777" w:rsidR="00B610C9" w:rsidRDefault="009C2391" w:rsidP="00B610C9">
      <w:pPr>
        <w:pStyle w:val="CRCoverPage"/>
        <w:outlineLvl w:val="0"/>
        <w:rPr>
          <w:b/>
          <w:noProof/>
          <w:sz w:val="24"/>
        </w:rPr>
      </w:pPr>
      <w:fldSimple w:instr=" DOCPROPERTY  Location  \* MERGEFORMAT ">
        <w:r w:rsidR="00B610C9" w:rsidRPr="00BA51D9">
          <w:rPr>
            <w:b/>
            <w:noProof/>
            <w:sz w:val="24"/>
          </w:rPr>
          <w:t>Online</w:t>
        </w:r>
      </w:fldSimple>
      <w:r w:rsidR="00B610C9">
        <w:rPr>
          <w:b/>
          <w:noProof/>
          <w:sz w:val="24"/>
        </w:rPr>
        <w:t xml:space="preserve">, </w:t>
      </w:r>
      <w:r w:rsidR="00B610C9" w:rsidRPr="00D52283">
        <w:rPr>
          <w:b/>
          <w:sz w:val="24"/>
          <w:szCs w:val="24"/>
          <w:lang w:eastAsia="zh-CN"/>
        </w:rPr>
        <w:fldChar w:fldCharType="begin"/>
      </w:r>
      <w:r w:rsidR="00B610C9" w:rsidRPr="00D52283">
        <w:rPr>
          <w:b/>
          <w:sz w:val="24"/>
          <w:szCs w:val="24"/>
          <w:lang w:eastAsia="zh-CN"/>
        </w:rPr>
        <w:instrText xml:space="preserve"> DOCPROPERTY  Country  \* MERGEFORMAT </w:instrText>
      </w:r>
      <w:r w:rsidR="00B610C9" w:rsidRPr="00D52283">
        <w:rPr>
          <w:b/>
          <w:sz w:val="24"/>
          <w:szCs w:val="24"/>
          <w:lang w:eastAsia="zh-CN"/>
        </w:rPr>
        <w:fldChar w:fldCharType="end"/>
      </w:r>
      <w:r w:rsidR="00B610C9">
        <w:rPr>
          <w:b/>
          <w:sz w:val="24"/>
          <w:szCs w:val="24"/>
          <w:lang w:eastAsia="zh-CN"/>
        </w:rPr>
        <w:t>12</w:t>
      </w:r>
      <w:r w:rsidR="00B610C9" w:rsidRPr="00BF1228">
        <w:rPr>
          <w:b/>
          <w:sz w:val="24"/>
          <w:szCs w:val="24"/>
          <w:lang w:eastAsia="zh-CN"/>
        </w:rPr>
        <w:t xml:space="preserve"> </w:t>
      </w:r>
      <w:r w:rsidR="00B610C9">
        <w:rPr>
          <w:b/>
          <w:sz w:val="24"/>
          <w:szCs w:val="24"/>
          <w:lang w:eastAsia="zh-CN"/>
        </w:rPr>
        <w:t xml:space="preserve">– 20 </w:t>
      </w:r>
      <w:proofErr w:type="gramStart"/>
      <w:r w:rsidR="00B610C9">
        <w:rPr>
          <w:b/>
          <w:sz w:val="24"/>
          <w:szCs w:val="24"/>
          <w:lang w:eastAsia="zh-CN"/>
        </w:rPr>
        <w:t>April</w:t>
      </w:r>
      <w:r w:rsidR="00B610C9" w:rsidRPr="00BF1228">
        <w:rPr>
          <w:b/>
          <w:sz w:val="24"/>
          <w:szCs w:val="24"/>
          <w:lang w:eastAsia="zh-CN"/>
        </w:rPr>
        <w:t>,</w:t>
      </w:r>
      <w:proofErr w:type="gramEnd"/>
      <w:r w:rsidR="00B610C9" w:rsidRPr="00BF1228">
        <w:rPr>
          <w:b/>
          <w:sz w:val="24"/>
          <w:szCs w:val="24"/>
          <w:lang w:eastAsia="zh-CN"/>
        </w:rPr>
        <w:t xml:space="preserve"> 202</w:t>
      </w:r>
      <w:r w:rsidR="00B610C9">
        <w:rPr>
          <w:b/>
          <w:sz w:val="24"/>
          <w:szCs w:val="24"/>
          <w:lang w:eastAsia="zh-CN"/>
        </w:rPr>
        <w:t>1</w:t>
      </w:r>
    </w:p>
    <w:p w14:paraId="038E9536" w14:textId="7A4D79E1"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B610C9">
        <w:rPr>
          <w:rFonts w:ascii="Arial" w:hAnsi="Arial" w:cs="Arial"/>
          <w:b/>
          <w:sz w:val="22"/>
          <w:szCs w:val="22"/>
        </w:rPr>
        <w:t>8</w:t>
      </w:r>
      <w:r w:rsidR="00F662C6" w:rsidRPr="00F662C6">
        <w:rPr>
          <w:rFonts w:ascii="Arial" w:hAnsi="Arial" w:cs="Arial"/>
          <w:b/>
          <w:sz w:val="22"/>
          <w:szCs w:val="22"/>
        </w:rPr>
        <w:t>.</w:t>
      </w:r>
      <w:r w:rsidR="00B56416">
        <w:rPr>
          <w:rFonts w:ascii="Arial" w:hAnsi="Arial" w:cs="Arial"/>
          <w:b/>
          <w:sz w:val="22"/>
          <w:szCs w:val="22"/>
        </w:rPr>
        <w:t>8</w:t>
      </w:r>
      <w:r w:rsidR="00F662C6" w:rsidRPr="00F662C6">
        <w:rPr>
          <w:rFonts w:ascii="Arial" w:hAnsi="Arial" w:cs="Arial"/>
          <w:b/>
          <w:sz w:val="22"/>
          <w:szCs w:val="22"/>
        </w:rPr>
        <w:t>.</w:t>
      </w:r>
      <w:r w:rsidR="00B56416">
        <w:rPr>
          <w:rFonts w:ascii="Arial" w:hAnsi="Arial" w:cs="Arial"/>
          <w:b/>
          <w:sz w:val="22"/>
          <w:szCs w:val="22"/>
        </w:rPr>
        <w:t>4</w:t>
      </w:r>
      <w:r w:rsidR="00F662C6" w:rsidRPr="00F662C6">
        <w:rPr>
          <w:rFonts w:ascii="Arial" w:hAnsi="Arial" w:cs="Arial"/>
          <w:b/>
          <w:sz w:val="22"/>
          <w:szCs w:val="22"/>
        </w:rPr>
        <w:t>.</w:t>
      </w:r>
      <w:r w:rsidR="000E1512">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F0486AD"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B1529A" w:rsidRPr="00B1529A">
        <w:rPr>
          <w:rFonts w:ascii="Arial" w:hAnsi="Arial" w:cs="Arial"/>
          <w:b/>
          <w:sz w:val="22"/>
          <w:szCs w:val="22"/>
        </w:rPr>
        <w:t xml:space="preserve">On </w:t>
      </w:r>
      <w:r w:rsidR="002B01EC">
        <w:rPr>
          <w:rFonts w:ascii="Arial" w:hAnsi="Arial" w:cs="Arial"/>
          <w:b/>
          <w:sz w:val="22"/>
          <w:szCs w:val="22"/>
        </w:rPr>
        <w:t>GNSS measurement for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2F3D14" w14:textId="702F251F" w:rsidR="00B610C9" w:rsidRDefault="00B610C9" w:rsidP="002B01EC">
      <w:pPr>
        <w:spacing w:after="0"/>
        <w:jc w:val="both"/>
        <w:rPr>
          <w:lang w:val="en-US" w:eastAsia="zh-CN"/>
        </w:rPr>
      </w:pPr>
      <w:r>
        <w:rPr>
          <w:lang w:val="en-US" w:eastAsia="zh-CN"/>
        </w:rPr>
        <w:t xml:space="preserve">In last RAN4 meeting, the </w:t>
      </w:r>
      <w:proofErr w:type="gramStart"/>
      <w:r w:rsidR="002B01EC" w:rsidRPr="005619B3">
        <w:rPr>
          <w:lang w:val="en-US" w:eastAsia="zh-CN"/>
        </w:rPr>
        <w:t>WF</w:t>
      </w:r>
      <w:r w:rsidR="002B01EC">
        <w:rPr>
          <w:lang w:val="en-US" w:eastAsia="zh-CN"/>
        </w:rPr>
        <w:t>[</w:t>
      </w:r>
      <w:proofErr w:type="gramEnd"/>
      <w:r w:rsidR="002B01EC">
        <w:rPr>
          <w:lang w:val="en-US" w:eastAsia="zh-CN"/>
        </w:rPr>
        <w:t>1]</w:t>
      </w:r>
      <w:r w:rsidR="002B01EC" w:rsidRPr="005619B3">
        <w:rPr>
          <w:lang w:val="en-US" w:eastAsia="zh-CN"/>
        </w:rPr>
        <w:t xml:space="preserve"> on NTN RRM measurement requirements</w:t>
      </w:r>
      <w:r w:rsidR="002B01EC">
        <w:rPr>
          <w:lang w:val="en-US" w:eastAsia="zh-CN"/>
        </w:rPr>
        <w:t xml:space="preserve"> was agreed and the issue of GNSS measurement was mentioned as below</w:t>
      </w:r>
      <w:r>
        <w:rPr>
          <w:lang w:val="en-US" w:eastAsia="zh-CN"/>
        </w:rPr>
        <w:t>.</w:t>
      </w:r>
    </w:p>
    <w:tbl>
      <w:tblPr>
        <w:tblStyle w:val="TableGrid"/>
        <w:tblW w:w="0" w:type="auto"/>
        <w:tblLook w:val="04A0" w:firstRow="1" w:lastRow="0" w:firstColumn="1" w:lastColumn="0" w:noHBand="0" w:noVBand="1"/>
      </w:tblPr>
      <w:tblGrid>
        <w:gridCol w:w="9629"/>
      </w:tblGrid>
      <w:tr w:rsidR="002B01EC" w14:paraId="488A34DD" w14:textId="77777777" w:rsidTr="002B01EC">
        <w:tc>
          <w:tcPr>
            <w:tcW w:w="9629" w:type="dxa"/>
          </w:tcPr>
          <w:p w14:paraId="763621A5" w14:textId="77777777" w:rsidR="002B01EC" w:rsidRPr="002B01EC" w:rsidRDefault="002B01EC" w:rsidP="002B01EC">
            <w:pPr>
              <w:numPr>
                <w:ilvl w:val="0"/>
                <w:numId w:val="32"/>
              </w:numPr>
              <w:spacing w:after="0"/>
              <w:jc w:val="both"/>
              <w:rPr>
                <w:lang w:val="en-US" w:eastAsia="zh-CN"/>
              </w:rPr>
            </w:pPr>
            <w:r w:rsidRPr="002B01EC">
              <w:rPr>
                <w:lang w:val="en-US" w:eastAsia="zh-CN"/>
              </w:rPr>
              <w:t>Observation: FFS: whether interruptions or measurement gaps is expected for GNSS measurements during NTN operation.</w:t>
            </w:r>
          </w:p>
          <w:p w14:paraId="15B5BB0B" w14:textId="77777777" w:rsidR="002B01EC" w:rsidRPr="002B01EC" w:rsidRDefault="002B01EC" w:rsidP="002B01EC">
            <w:pPr>
              <w:numPr>
                <w:ilvl w:val="1"/>
                <w:numId w:val="32"/>
              </w:numPr>
              <w:spacing w:after="0"/>
              <w:jc w:val="both"/>
              <w:rPr>
                <w:lang w:val="en-US" w:eastAsia="zh-CN"/>
              </w:rPr>
            </w:pPr>
            <w:r w:rsidRPr="002B01EC">
              <w:rPr>
                <w:lang w:val="en-US" w:eastAsia="zh-CN"/>
              </w:rPr>
              <w:t>Companies are encouraged to investigate further and provide input if any technical issues are found. If any, RAN4 to discuss whether/how to define interruption and/or measurement gap for GNSS measurement in detail.</w:t>
            </w:r>
          </w:p>
          <w:p w14:paraId="77D55176" w14:textId="77777777" w:rsidR="002B01EC" w:rsidRPr="002B01EC" w:rsidRDefault="002B01EC" w:rsidP="002B01EC">
            <w:pPr>
              <w:spacing w:after="0"/>
              <w:jc w:val="both"/>
              <w:rPr>
                <w:lang w:val="en-US" w:eastAsia="zh-CN"/>
              </w:rPr>
            </w:pPr>
            <w:r w:rsidRPr="002B01EC">
              <w:rPr>
                <w:i/>
                <w:iCs/>
                <w:lang w:val="en-US" w:eastAsia="zh-CN"/>
              </w:rPr>
              <w:t>[information-only] Technical comment from Apple:</w:t>
            </w:r>
          </w:p>
          <w:p w14:paraId="4DA30C1C" w14:textId="77777777" w:rsidR="002B01EC" w:rsidRPr="002B01EC" w:rsidRDefault="002B01EC" w:rsidP="002B01EC">
            <w:pPr>
              <w:spacing w:after="0"/>
              <w:jc w:val="both"/>
              <w:rPr>
                <w:lang w:val="en-US" w:eastAsia="zh-CN"/>
              </w:rPr>
            </w:pPr>
            <w:r w:rsidRPr="002B01EC">
              <w:rPr>
                <w:lang w:val="en-US" w:eastAsia="zh-CN"/>
              </w:rPr>
              <w:t xml:space="preserve">In RF discussion, the NTN GTW session agreed in RAN4#98e to work on both S- and L-band for the WI. We did not see big issue in terms of interference between GNSS and S-band, but L-band UL is very close to GNSS. So, we are not sure if there is a potential issue for that combination from IDC harmonic/emission interference perspective. If the IDC harmonic/emission interference exists and is not negligible, we may consider </w:t>
            </w:r>
            <w:proofErr w:type="gramStart"/>
            <w:r w:rsidRPr="002B01EC">
              <w:rPr>
                <w:lang w:val="en-US" w:eastAsia="zh-CN"/>
              </w:rPr>
              <w:t>to protect</w:t>
            </w:r>
            <w:proofErr w:type="gramEnd"/>
            <w:r w:rsidRPr="002B01EC">
              <w:rPr>
                <w:lang w:val="en-US" w:eastAsia="zh-CN"/>
              </w:rPr>
              <w:t xml:space="preserve"> GNSS measurement from aggressor NTN transmission. Secondly, this case is different from legacy NR, because NTN capable UE is mandatory to support GNSS measurement and also GNSS measurement is essential for NTN connection. We think all these IDC interference aspects have to be checked by RAN4 RF session, and we are also checking with our RF experts. </w:t>
            </w:r>
          </w:p>
          <w:p w14:paraId="03146BE9" w14:textId="77777777" w:rsidR="002B01EC" w:rsidRPr="002B01EC" w:rsidRDefault="002B01EC" w:rsidP="002B01EC">
            <w:pPr>
              <w:spacing w:after="0"/>
              <w:jc w:val="both"/>
              <w:rPr>
                <w:lang w:val="en-US" w:eastAsia="zh-CN"/>
              </w:rPr>
            </w:pPr>
            <w:r w:rsidRPr="002B01EC">
              <w:rPr>
                <w:i/>
                <w:iCs/>
                <w:lang w:val="en-US" w:eastAsia="zh-CN"/>
              </w:rPr>
              <w:t>[Information-only] Technical comments from THALES</w:t>
            </w:r>
          </w:p>
          <w:p w14:paraId="417C8609" w14:textId="77777777" w:rsidR="002B01EC" w:rsidRPr="002B01EC" w:rsidRDefault="002B01EC" w:rsidP="002B01EC">
            <w:pPr>
              <w:spacing w:after="0"/>
              <w:jc w:val="both"/>
              <w:rPr>
                <w:lang w:val="en-US" w:eastAsia="zh-CN"/>
              </w:rPr>
            </w:pPr>
            <w:r w:rsidRPr="002B01EC">
              <w:rPr>
                <w:lang w:val="en-US" w:eastAsia="zh-CN"/>
              </w:rPr>
              <w:t>For exemplary L-band (see the GTW agreement from [98e][310]), NTN UE in-device coexistence study with GNSS may be required for this band.</w:t>
            </w:r>
          </w:p>
          <w:p w14:paraId="71EA674F" w14:textId="6C27C8B0" w:rsidR="002B01EC" w:rsidRDefault="002B01EC" w:rsidP="002B01EC">
            <w:pPr>
              <w:spacing w:after="0"/>
              <w:jc w:val="both"/>
              <w:rPr>
                <w:lang w:val="en-US" w:eastAsia="zh-CN"/>
              </w:rPr>
            </w:pPr>
            <w:r w:rsidRPr="002B01EC">
              <w:rPr>
                <w:lang w:val="en-US" w:eastAsia="zh-CN"/>
              </w:rPr>
              <w:t>Moreover, for the time being it is not clear the impact of interruption/measurement gaps on the UE capability to synchronize. It also depends on the type of constellation, the width and the type of cell (</w:t>
            </w:r>
            <w:proofErr w:type="gramStart"/>
            <w:r w:rsidRPr="002B01EC">
              <w:rPr>
                <w:lang w:val="en-US" w:eastAsia="zh-CN"/>
              </w:rPr>
              <w:t>e.g.</w:t>
            </w:r>
            <w:proofErr w:type="gramEnd"/>
            <w:r w:rsidRPr="002B01EC">
              <w:rPr>
                <w:lang w:val="en-US" w:eastAsia="zh-CN"/>
              </w:rPr>
              <w:t xml:space="preserve"> if Earth fixed cell or Earth moving cell).</w:t>
            </w:r>
          </w:p>
        </w:tc>
      </w:tr>
    </w:tbl>
    <w:p w14:paraId="5BAFFF29" w14:textId="4D4B0990" w:rsidR="002B01EC" w:rsidRDefault="002B01EC" w:rsidP="00B610C9">
      <w:pPr>
        <w:jc w:val="both"/>
        <w:rPr>
          <w:lang w:val="en-US" w:eastAsia="zh-CN"/>
        </w:rPr>
      </w:pPr>
    </w:p>
    <w:p w14:paraId="52BABC71" w14:textId="4805114B" w:rsidR="002B01EC" w:rsidRDefault="002B01EC" w:rsidP="00B610C9">
      <w:pPr>
        <w:jc w:val="both"/>
        <w:rPr>
          <w:lang w:val="en-US" w:eastAsia="zh-CN"/>
        </w:rPr>
      </w:pPr>
      <w:r>
        <w:rPr>
          <w:lang w:val="en-US" w:eastAsia="zh-CN"/>
        </w:rPr>
        <w:t xml:space="preserve">In this contribution, we discuss </w:t>
      </w:r>
      <w:r w:rsidRPr="002B01EC">
        <w:rPr>
          <w:lang w:val="en-US" w:eastAsia="zh-CN"/>
        </w:rPr>
        <w:t>whether interruptions or measurement gaps is expected for GNSS measurements during NTN operation</w:t>
      </w:r>
      <w:r>
        <w:rPr>
          <w:lang w:val="en-US" w:eastAsia="zh-CN"/>
        </w:rPr>
        <w:t>.</w:t>
      </w:r>
    </w:p>
    <w:p w14:paraId="11114A88" w14:textId="5266788C" w:rsidR="00712CC1" w:rsidRDefault="00362F54" w:rsidP="00712CC1">
      <w:pPr>
        <w:pStyle w:val="Heading1"/>
        <w:numPr>
          <w:ilvl w:val="0"/>
          <w:numId w:val="10"/>
        </w:numPr>
        <w:pBdr>
          <w:top w:val="single" w:sz="12" w:space="2" w:color="auto"/>
        </w:pBdr>
        <w:tabs>
          <w:tab w:val="num" w:pos="45"/>
        </w:tabs>
        <w:jc w:val="both"/>
        <w:rPr>
          <w:sz w:val="32"/>
        </w:rPr>
      </w:pPr>
      <w:r>
        <w:rPr>
          <w:sz w:val="32"/>
        </w:rPr>
        <w:t>Discussion</w:t>
      </w:r>
    </w:p>
    <w:p w14:paraId="15591FE5" w14:textId="26E59A3A" w:rsidR="002B01EC" w:rsidRDefault="002B01EC" w:rsidP="002B01EC">
      <w:pPr>
        <w:jc w:val="both"/>
        <w:rPr>
          <w:lang w:val="en-US" w:eastAsia="zh-CN"/>
        </w:rPr>
      </w:pPr>
      <w:r>
        <w:rPr>
          <w:lang w:val="en-US" w:eastAsia="zh-CN"/>
        </w:rPr>
        <w:t>In RAN4#98e meeting, RF session agreed in [2] that,</w:t>
      </w:r>
    </w:p>
    <w:tbl>
      <w:tblPr>
        <w:tblStyle w:val="TableGrid"/>
        <w:tblW w:w="0" w:type="auto"/>
        <w:tblLook w:val="04A0" w:firstRow="1" w:lastRow="0" w:firstColumn="1" w:lastColumn="0" w:noHBand="0" w:noVBand="1"/>
      </w:tblPr>
      <w:tblGrid>
        <w:gridCol w:w="9629"/>
      </w:tblGrid>
      <w:tr w:rsidR="002B01EC" w14:paraId="704C3C2F" w14:textId="77777777" w:rsidTr="002B01EC">
        <w:tc>
          <w:tcPr>
            <w:tcW w:w="9629" w:type="dxa"/>
          </w:tcPr>
          <w:p w14:paraId="757B4DAB" w14:textId="77777777" w:rsidR="00473C79" w:rsidRPr="00473C79" w:rsidRDefault="007016F4" w:rsidP="00473C79">
            <w:pPr>
              <w:pStyle w:val="ListParagraph"/>
              <w:numPr>
                <w:ilvl w:val="0"/>
                <w:numId w:val="35"/>
              </w:numPr>
              <w:ind w:left="298" w:hangingChars="142" w:hanging="298"/>
              <w:jc w:val="both"/>
              <w:rPr>
                <w:highlight w:val="green"/>
                <w:lang w:val="en-GB" w:eastAsia="zh-CN"/>
              </w:rPr>
            </w:pPr>
            <w:r w:rsidRPr="00286138">
              <w:rPr>
                <w:highlight w:val="green"/>
                <w:lang w:val="en-GB" w:eastAsia="zh-CN"/>
              </w:rPr>
              <w:t xml:space="preserve">Include S-band, L-band as exemplary bands for FR1 </w:t>
            </w:r>
          </w:p>
          <w:p w14:paraId="22FA929C" w14:textId="335C42CC" w:rsidR="00286138" w:rsidRPr="00473C79" w:rsidRDefault="007016F4" w:rsidP="00473C79">
            <w:pPr>
              <w:pStyle w:val="ListParagraph"/>
              <w:numPr>
                <w:ilvl w:val="1"/>
                <w:numId w:val="35"/>
              </w:numPr>
              <w:ind w:firstLineChars="0"/>
              <w:jc w:val="both"/>
              <w:rPr>
                <w:lang w:val="en-GB" w:eastAsia="zh-CN"/>
              </w:rPr>
            </w:pPr>
            <w:r w:rsidRPr="00473C79">
              <w:rPr>
                <w:lang w:eastAsia="zh-CN"/>
              </w:rPr>
              <w:t>Using S-band frequency range i.e. 2GHz for co-existence simulation in FR1</w:t>
            </w:r>
          </w:p>
          <w:p w14:paraId="5F057AFE" w14:textId="55E868B5" w:rsidR="002B01EC" w:rsidRPr="002B01EC" w:rsidRDefault="007016F4" w:rsidP="002B01EC">
            <w:pPr>
              <w:pStyle w:val="ListParagraph"/>
              <w:numPr>
                <w:ilvl w:val="0"/>
                <w:numId w:val="35"/>
              </w:numPr>
              <w:ind w:left="298" w:hangingChars="142" w:hanging="298"/>
              <w:jc w:val="both"/>
              <w:rPr>
                <w:lang w:val="en-US" w:eastAsia="zh-CN"/>
              </w:rPr>
            </w:pPr>
            <w:r w:rsidRPr="00286138">
              <w:rPr>
                <w:lang w:val="en-GB" w:eastAsia="zh-CN"/>
              </w:rPr>
              <w:t xml:space="preserve">At least one of above bands RF requirements completed, then Rel-17 NTN WI, RF requirements for FR1 can be considered as completed. </w:t>
            </w:r>
          </w:p>
        </w:tc>
      </w:tr>
    </w:tbl>
    <w:p w14:paraId="515A683A" w14:textId="267FBD74" w:rsidR="002B01EC" w:rsidRDefault="002B01EC" w:rsidP="002B01EC">
      <w:pPr>
        <w:jc w:val="both"/>
        <w:rPr>
          <w:lang w:val="en-US" w:eastAsia="zh-CN"/>
        </w:rPr>
      </w:pPr>
    </w:p>
    <w:p w14:paraId="0D93D27A" w14:textId="41FCBECF" w:rsidR="00473C79" w:rsidRDefault="00473C79" w:rsidP="002B01EC">
      <w:pPr>
        <w:jc w:val="both"/>
        <w:rPr>
          <w:lang w:val="en-US" w:eastAsia="zh-CN"/>
        </w:rPr>
      </w:pPr>
      <w:r>
        <w:rPr>
          <w:lang w:val="en-US" w:eastAsia="zh-CN"/>
        </w:rPr>
        <w:t xml:space="preserve">The L-band spectrum for satellite services </w:t>
      </w:r>
      <w:proofErr w:type="gramStart"/>
      <w:r>
        <w:rPr>
          <w:lang w:val="en-US" w:eastAsia="zh-CN"/>
        </w:rPr>
        <w:t>are</w:t>
      </w:r>
      <w:proofErr w:type="gramEnd"/>
      <w:r>
        <w:rPr>
          <w:lang w:val="en-US" w:eastAsia="zh-CN"/>
        </w:rPr>
        <w:t xml:space="preserve"> summarized in [3],</w:t>
      </w:r>
    </w:p>
    <w:tbl>
      <w:tblPr>
        <w:tblStyle w:val="TableGrid"/>
        <w:tblW w:w="0" w:type="auto"/>
        <w:tblLook w:val="04A0" w:firstRow="1" w:lastRow="0" w:firstColumn="1" w:lastColumn="0" w:noHBand="0" w:noVBand="1"/>
      </w:tblPr>
      <w:tblGrid>
        <w:gridCol w:w="9629"/>
      </w:tblGrid>
      <w:tr w:rsidR="00473C79" w14:paraId="3C31C236" w14:textId="77777777" w:rsidTr="00473C79">
        <w:tc>
          <w:tcPr>
            <w:tcW w:w="9629" w:type="dxa"/>
          </w:tcPr>
          <w:p w14:paraId="5BF4598C" w14:textId="77777777" w:rsidR="00473C79" w:rsidRPr="00B87185" w:rsidRDefault="00473C79" w:rsidP="00B87185">
            <w:pPr>
              <w:spacing w:after="0"/>
              <w:rPr>
                <w:lang w:eastAsia="fr-FR"/>
              </w:rPr>
            </w:pPr>
            <w:r w:rsidRPr="00B87185">
              <w:rPr>
                <w:lang w:eastAsia="fr-FR"/>
              </w:rPr>
              <w:t xml:space="preserve">The following bands are referred as L band and identified by the ITU Radio Regulation for use by GEO based Mobile Satellite Services (MSS) on a worldwide basis. </w:t>
            </w:r>
          </w:p>
          <w:p w14:paraId="481C3816" w14:textId="77777777" w:rsidR="00473C79" w:rsidRPr="00B87185" w:rsidRDefault="00473C79" w:rsidP="00B87185">
            <w:pPr>
              <w:spacing w:after="0"/>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349"/>
              <w:gridCol w:w="2349"/>
              <w:gridCol w:w="2349"/>
            </w:tblGrid>
            <w:tr w:rsidR="00473C79" w:rsidRPr="00B87185" w14:paraId="53B09BA5" w14:textId="77777777" w:rsidTr="00BD0462">
              <w:tc>
                <w:tcPr>
                  <w:tcW w:w="2386" w:type="dxa"/>
                  <w:shd w:val="clear" w:color="auto" w:fill="auto"/>
                </w:tcPr>
                <w:p w14:paraId="7DA070DD" w14:textId="77777777" w:rsidR="00473C79" w:rsidRPr="00B87185" w:rsidRDefault="00473C79" w:rsidP="00B87185">
                  <w:pPr>
                    <w:spacing w:after="0" w:line="276" w:lineRule="auto"/>
                    <w:jc w:val="both"/>
                    <w:rPr>
                      <w:lang w:eastAsia="fr-FR"/>
                    </w:rPr>
                  </w:pPr>
                </w:p>
              </w:tc>
              <w:tc>
                <w:tcPr>
                  <w:tcW w:w="2386" w:type="dxa"/>
                  <w:shd w:val="clear" w:color="auto" w:fill="auto"/>
                </w:tcPr>
                <w:p w14:paraId="0F16DC6D" w14:textId="77777777" w:rsidR="00473C79" w:rsidRPr="00B87185" w:rsidRDefault="00473C79" w:rsidP="00B87185">
                  <w:pPr>
                    <w:spacing w:after="0" w:line="276" w:lineRule="auto"/>
                    <w:jc w:val="center"/>
                    <w:rPr>
                      <w:lang w:eastAsia="fr-FR"/>
                    </w:rPr>
                  </w:pPr>
                  <w:r w:rsidRPr="00B87185">
                    <w:rPr>
                      <w:lang w:eastAsia="fr-FR"/>
                    </w:rPr>
                    <w:t>Region 1</w:t>
                  </w:r>
                </w:p>
              </w:tc>
              <w:tc>
                <w:tcPr>
                  <w:tcW w:w="2386" w:type="dxa"/>
                  <w:shd w:val="clear" w:color="auto" w:fill="auto"/>
                </w:tcPr>
                <w:p w14:paraId="7B130B19" w14:textId="77777777" w:rsidR="00473C79" w:rsidRPr="00B87185" w:rsidRDefault="00473C79" w:rsidP="00B87185">
                  <w:pPr>
                    <w:spacing w:after="0" w:line="276" w:lineRule="auto"/>
                    <w:jc w:val="center"/>
                    <w:rPr>
                      <w:lang w:eastAsia="fr-FR"/>
                    </w:rPr>
                  </w:pPr>
                  <w:r w:rsidRPr="00B87185">
                    <w:rPr>
                      <w:lang w:eastAsia="fr-FR"/>
                    </w:rPr>
                    <w:t>Region 2</w:t>
                  </w:r>
                </w:p>
              </w:tc>
              <w:tc>
                <w:tcPr>
                  <w:tcW w:w="2386" w:type="dxa"/>
                  <w:shd w:val="clear" w:color="auto" w:fill="auto"/>
                </w:tcPr>
                <w:p w14:paraId="249DC58E" w14:textId="77777777" w:rsidR="00473C79" w:rsidRPr="00B87185" w:rsidRDefault="00473C79" w:rsidP="00B87185">
                  <w:pPr>
                    <w:spacing w:after="0" w:line="276" w:lineRule="auto"/>
                    <w:jc w:val="center"/>
                    <w:rPr>
                      <w:lang w:eastAsia="fr-FR"/>
                    </w:rPr>
                  </w:pPr>
                  <w:r w:rsidRPr="00B87185">
                    <w:rPr>
                      <w:lang w:eastAsia="fr-FR"/>
                    </w:rPr>
                    <w:t>Region 3</w:t>
                  </w:r>
                </w:p>
              </w:tc>
            </w:tr>
            <w:tr w:rsidR="00473C79" w:rsidRPr="00B87185" w14:paraId="4F09D5EF" w14:textId="77777777" w:rsidTr="00BD0462">
              <w:tc>
                <w:tcPr>
                  <w:tcW w:w="2386" w:type="dxa"/>
                  <w:shd w:val="clear" w:color="auto" w:fill="auto"/>
                </w:tcPr>
                <w:p w14:paraId="394FF896" w14:textId="77777777" w:rsidR="00473C79" w:rsidRPr="00B87185" w:rsidRDefault="00473C79" w:rsidP="00B87185">
                  <w:pPr>
                    <w:spacing w:after="0" w:line="276" w:lineRule="auto"/>
                    <w:rPr>
                      <w:lang w:eastAsia="fr-FR"/>
                    </w:rPr>
                  </w:pPr>
                  <w:r w:rsidRPr="00B87185">
                    <w:rPr>
                      <w:lang w:eastAsia="fr-FR"/>
                    </w:rPr>
                    <w:t>Downlink (space to earth)</w:t>
                  </w:r>
                </w:p>
              </w:tc>
              <w:tc>
                <w:tcPr>
                  <w:tcW w:w="2386" w:type="dxa"/>
                  <w:shd w:val="clear" w:color="auto" w:fill="auto"/>
                </w:tcPr>
                <w:p w14:paraId="4C005EB2" w14:textId="77777777" w:rsidR="00473C79" w:rsidRPr="00B87185" w:rsidRDefault="00473C79" w:rsidP="00B87185">
                  <w:pPr>
                    <w:spacing w:after="0" w:line="276" w:lineRule="auto"/>
                    <w:jc w:val="center"/>
                    <w:rPr>
                      <w:lang w:eastAsia="fr-FR"/>
                    </w:rPr>
                  </w:pPr>
                  <w:r w:rsidRPr="00B87185">
                    <w:rPr>
                      <w:bCs/>
                      <w:lang w:eastAsia="fr-FR"/>
                    </w:rPr>
                    <w:t>1518 – 1559 MHz</w:t>
                  </w:r>
                </w:p>
              </w:tc>
              <w:tc>
                <w:tcPr>
                  <w:tcW w:w="2386" w:type="dxa"/>
                  <w:shd w:val="clear" w:color="auto" w:fill="auto"/>
                </w:tcPr>
                <w:p w14:paraId="453DA217" w14:textId="77777777" w:rsidR="00473C79" w:rsidRPr="00B87185" w:rsidRDefault="00473C79" w:rsidP="00B87185">
                  <w:pPr>
                    <w:spacing w:after="0" w:line="276" w:lineRule="auto"/>
                    <w:jc w:val="center"/>
                    <w:rPr>
                      <w:bCs/>
                      <w:lang w:eastAsia="fr-FR"/>
                    </w:rPr>
                  </w:pPr>
                  <w:r w:rsidRPr="00B87185">
                    <w:rPr>
                      <w:bCs/>
                      <w:lang w:eastAsia="fr-FR"/>
                    </w:rPr>
                    <w:t>1518 – 1559 MHz</w:t>
                  </w:r>
                </w:p>
                <w:p w14:paraId="68801482" w14:textId="77777777" w:rsidR="00473C79" w:rsidRPr="00B87185" w:rsidRDefault="00473C79" w:rsidP="00B87185">
                  <w:pPr>
                    <w:spacing w:after="0" w:line="276" w:lineRule="auto"/>
                    <w:jc w:val="center"/>
                    <w:rPr>
                      <w:lang w:eastAsia="fr-FR"/>
                    </w:rPr>
                  </w:pPr>
                  <w:r w:rsidRPr="00B87185">
                    <w:rPr>
                      <w:bCs/>
                      <w:i/>
                      <w:lang w:val="de-DE" w:eastAsia="fr-FR"/>
                    </w:rPr>
                    <w:t>(Note 1)</w:t>
                  </w:r>
                </w:p>
              </w:tc>
              <w:tc>
                <w:tcPr>
                  <w:tcW w:w="2386" w:type="dxa"/>
                  <w:shd w:val="clear" w:color="auto" w:fill="auto"/>
                </w:tcPr>
                <w:p w14:paraId="149FBC5C" w14:textId="77777777" w:rsidR="00473C79" w:rsidRPr="00B87185" w:rsidRDefault="00473C79" w:rsidP="00B87185">
                  <w:pPr>
                    <w:spacing w:after="0" w:line="276" w:lineRule="auto"/>
                    <w:jc w:val="center"/>
                    <w:rPr>
                      <w:lang w:eastAsia="fr-FR"/>
                    </w:rPr>
                  </w:pPr>
                  <w:r w:rsidRPr="00B87185">
                    <w:rPr>
                      <w:bCs/>
                      <w:lang w:eastAsia="fr-FR"/>
                    </w:rPr>
                    <w:t>1518 – 1559 MHz</w:t>
                  </w:r>
                </w:p>
              </w:tc>
            </w:tr>
            <w:tr w:rsidR="00473C79" w:rsidRPr="00B87185" w14:paraId="60CF1365" w14:textId="77777777" w:rsidTr="00BD0462">
              <w:tc>
                <w:tcPr>
                  <w:tcW w:w="2386" w:type="dxa"/>
                  <w:shd w:val="clear" w:color="auto" w:fill="auto"/>
                </w:tcPr>
                <w:p w14:paraId="47611AB9" w14:textId="77777777" w:rsidR="00473C79" w:rsidRPr="00B87185" w:rsidRDefault="00473C79" w:rsidP="00B87185">
                  <w:pPr>
                    <w:spacing w:after="0" w:line="276" w:lineRule="auto"/>
                    <w:rPr>
                      <w:lang w:eastAsia="fr-FR"/>
                    </w:rPr>
                  </w:pPr>
                  <w:r w:rsidRPr="00B87185">
                    <w:rPr>
                      <w:lang w:eastAsia="fr-FR"/>
                    </w:rPr>
                    <w:lastRenderedPageBreak/>
                    <w:t>Uplink (earth to space)</w:t>
                  </w:r>
                </w:p>
              </w:tc>
              <w:tc>
                <w:tcPr>
                  <w:tcW w:w="2386" w:type="dxa"/>
                  <w:shd w:val="clear" w:color="auto" w:fill="auto"/>
                </w:tcPr>
                <w:p w14:paraId="734B106F" w14:textId="77777777" w:rsidR="00473C79" w:rsidRPr="00B87185" w:rsidRDefault="00473C79" w:rsidP="00B87185">
                  <w:pPr>
                    <w:spacing w:after="0"/>
                    <w:jc w:val="center"/>
                    <w:rPr>
                      <w:lang w:eastAsia="fr-FR"/>
                    </w:rPr>
                  </w:pPr>
                  <w:r w:rsidRPr="00B87185">
                    <w:rPr>
                      <w:bCs/>
                      <w:lang w:val="de-DE" w:eastAsia="fr-FR"/>
                    </w:rPr>
                    <w:t>1626.5 – 1660.5 MHz &amp; 1668 – 1675 MHz</w:t>
                  </w:r>
                </w:p>
              </w:tc>
              <w:tc>
                <w:tcPr>
                  <w:tcW w:w="2386" w:type="dxa"/>
                  <w:shd w:val="clear" w:color="auto" w:fill="auto"/>
                </w:tcPr>
                <w:p w14:paraId="21C25B60" w14:textId="77777777" w:rsidR="00473C79" w:rsidRPr="00B87185" w:rsidRDefault="00473C79" w:rsidP="00B87185">
                  <w:pPr>
                    <w:spacing w:after="0" w:line="276" w:lineRule="auto"/>
                    <w:jc w:val="center"/>
                    <w:rPr>
                      <w:lang w:eastAsia="fr-FR"/>
                    </w:rPr>
                  </w:pPr>
                  <w:r w:rsidRPr="00B87185">
                    <w:rPr>
                      <w:bCs/>
                      <w:lang w:val="de-DE" w:eastAsia="fr-FR"/>
                    </w:rPr>
                    <w:t xml:space="preserve">1626.5 – 1660.5 MHz &amp; 1668 – 1675 MHz </w:t>
                  </w:r>
                  <w:r w:rsidRPr="00B87185">
                    <w:rPr>
                      <w:bCs/>
                      <w:i/>
                      <w:lang w:val="de-DE" w:eastAsia="fr-FR"/>
                    </w:rPr>
                    <w:t>(Note 2)</w:t>
                  </w:r>
                </w:p>
              </w:tc>
              <w:tc>
                <w:tcPr>
                  <w:tcW w:w="2386" w:type="dxa"/>
                  <w:shd w:val="clear" w:color="auto" w:fill="auto"/>
                </w:tcPr>
                <w:p w14:paraId="38383ED4" w14:textId="77777777" w:rsidR="00473C79" w:rsidRPr="00B87185" w:rsidRDefault="00473C79" w:rsidP="00B87185">
                  <w:pPr>
                    <w:spacing w:after="0" w:line="276" w:lineRule="auto"/>
                    <w:jc w:val="center"/>
                    <w:rPr>
                      <w:lang w:eastAsia="fr-FR"/>
                    </w:rPr>
                  </w:pPr>
                  <w:r w:rsidRPr="00B87185">
                    <w:rPr>
                      <w:bCs/>
                      <w:lang w:val="de-DE" w:eastAsia="fr-FR"/>
                    </w:rPr>
                    <w:t>1626.5 – 1660.5 MHz &amp; 1668 – 1675 MHz</w:t>
                  </w:r>
                </w:p>
              </w:tc>
            </w:tr>
          </w:tbl>
          <w:p w14:paraId="5054AA14" w14:textId="77777777" w:rsidR="00473C79" w:rsidRPr="00B87185" w:rsidRDefault="00473C79" w:rsidP="00B87185">
            <w:pPr>
              <w:spacing w:after="0"/>
              <w:rPr>
                <w:lang w:eastAsia="fr-FR"/>
              </w:rPr>
            </w:pPr>
            <w:r w:rsidRPr="00B87185">
              <w:rPr>
                <w:i/>
                <w:lang w:eastAsia="fr-FR"/>
              </w:rPr>
              <w:t>Note 1</w:t>
            </w:r>
            <w:r w:rsidRPr="00B87185">
              <w:rPr>
                <w:lang w:eastAsia="fr-FR"/>
              </w:rPr>
              <w:t>: In the table above, the frequency band 1518 - 1525 MHz is not allocated to MSS domestically in the US.</w:t>
            </w:r>
          </w:p>
          <w:p w14:paraId="5B0D9389" w14:textId="77777777" w:rsidR="00473C79" w:rsidRPr="00B87185" w:rsidRDefault="00473C79" w:rsidP="00B87185">
            <w:pPr>
              <w:spacing w:after="0"/>
              <w:rPr>
                <w:i/>
                <w:lang w:eastAsia="fr-FR"/>
              </w:rPr>
            </w:pPr>
          </w:p>
          <w:p w14:paraId="78542118" w14:textId="77777777" w:rsidR="00B87185" w:rsidRPr="00B87185" w:rsidRDefault="00473C79" w:rsidP="00B87185">
            <w:pPr>
              <w:spacing w:after="0"/>
              <w:rPr>
                <w:lang w:eastAsia="fr-FR"/>
              </w:rPr>
            </w:pPr>
            <w:r w:rsidRPr="00B87185">
              <w:rPr>
                <w:i/>
                <w:lang w:eastAsia="fr-FR"/>
              </w:rPr>
              <w:t>Note 2</w:t>
            </w:r>
            <w:r w:rsidRPr="00B87185">
              <w:rPr>
                <w:lang w:eastAsia="fr-FR"/>
              </w:rPr>
              <w:t>: In the table above, the frequency band 1668-1675 MHz is not allocated to MSS domestically in the US. The band 1670 – 1675 MHz is allocated for fixed and mobile services in US.</w:t>
            </w:r>
          </w:p>
          <w:p w14:paraId="3D516A1E" w14:textId="58E5860A" w:rsidR="00B87185" w:rsidRPr="00B87185" w:rsidRDefault="00B87185" w:rsidP="00B87185">
            <w:pPr>
              <w:spacing w:after="0"/>
              <w:rPr>
                <w:lang w:eastAsia="fr-FR"/>
              </w:rPr>
            </w:pPr>
            <w:r w:rsidRPr="00B87185">
              <w:rPr>
                <w:i/>
                <w:lang w:eastAsia="fr-FR"/>
              </w:rPr>
              <w:t>Note:</w:t>
            </w:r>
            <w:r w:rsidRPr="00B87185">
              <w:rPr>
                <w:lang w:eastAsia="fr-FR"/>
              </w:rPr>
              <w:t xml:space="preserve"> In the table above, the identified spectrum bands can also be used by Complementary Ground Component (CGC) or Ancillary Terrestrial Component (ATC) of the network</w:t>
            </w:r>
          </w:p>
          <w:p w14:paraId="58A062BF" w14:textId="77777777" w:rsidR="00B87185" w:rsidRPr="00B87185" w:rsidRDefault="00B87185" w:rsidP="00B87185">
            <w:pPr>
              <w:spacing w:after="0"/>
              <w:rPr>
                <w:lang w:eastAsia="fr-FR"/>
              </w:rPr>
            </w:pPr>
          </w:p>
          <w:p w14:paraId="1BF91EEB" w14:textId="77777777" w:rsidR="00B87185" w:rsidRPr="00B87185" w:rsidRDefault="00B87185" w:rsidP="00B87185">
            <w:pPr>
              <w:spacing w:after="0"/>
              <w:rPr>
                <w:lang w:eastAsia="fr-FR"/>
              </w:rPr>
            </w:pPr>
            <w:r w:rsidRPr="00B87185">
              <w:rPr>
                <w:lang w:eastAsia="fr-FR"/>
              </w:rPr>
              <w:t xml:space="preserve">The following bands are referred as L band and identified by the ITU Radio Regulation for use by Non-GEO based Mobile Satellite Services on a worldwide basis. </w:t>
            </w:r>
          </w:p>
          <w:p w14:paraId="3F23D591" w14:textId="77777777" w:rsidR="00B87185" w:rsidRPr="00B87185" w:rsidRDefault="00B87185" w:rsidP="00B87185">
            <w:pPr>
              <w:spacing w:after="0"/>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349"/>
              <w:gridCol w:w="2349"/>
              <w:gridCol w:w="2349"/>
            </w:tblGrid>
            <w:tr w:rsidR="00B87185" w:rsidRPr="00B87185" w14:paraId="7C8C2100" w14:textId="77777777" w:rsidTr="00BD0462">
              <w:tc>
                <w:tcPr>
                  <w:tcW w:w="2386" w:type="dxa"/>
                  <w:shd w:val="clear" w:color="auto" w:fill="auto"/>
                </w:tcPr>
                <w:p w14:paraId="5CC4FE5B" w14:textId="77777777" w:rsidR="00B87185" w:rsidRPr="00B87185" w:rsidRDefault="00B87185" w:rsidP="00B87185">
                  <w:pPr>
                    <w:spacing w:after="0" w:line="276" w:lineRule="auto"/>
                    <w:jc w:val="both"/>
                    <w:rPr>
                      <w:lang w:eastAsia="fr-FR"/>
                    </w:rPr>
                  </w:pPr>
                </w:p>
              </w:tc>
              <w:tc>
                <w:tcPr>
                  <w:tcW w:w="2386" w:type="dxa"/>
                  <w:shd w:val="clear" w:color="auto" w:fill="auto"/>
                </w:tcPr>
                <w:p w14:paraId="0C5ECB5E" w14:textId="77777777" w:rsidR="00B87185" w:rsidRPr="00B87185" w:rsidRDefault="00B87185" w:rsidP="00B87185">
                  <w:pPr>
                    <w:spacing w:after="0" w:line="276" w:lineRule="auto"/>
                    <w:jc w:val="center"/>
                    <w:rPr>
                      <w:lang w:eastAsia="fr-FR"/>
                    </w:rPr>
                  </w:pPr>
                  <w:r w:rsidRPr="00B87185">
                    <w:rPr>
                      <w:lang w:eastAsia="fr-FR"/>
                    </w:rPr>
                    <w:t>Region 1</w:t>
                  </w:r>
                </w:p>
              </w:tc>
              <w:tc>
                <w:tcPr>
                  <w:tcW w:w="2386" w:type="dxa"/>
                  <w:shd w:val="clear" w:color="auto" w:fill="auto"/>
                </w:tcPr>
                <w:p w14:paraId="2BAC949D" w14:textId="77777777" w:rsidR="00B87185" w:rsidRPr="00B87185" w:rsidRDefault="00B87185" w:rsidP="00B87185">
                  <w:pPr>
                    <w:spacing w:after="0" w:line="276" w:lineRule="auto"/>
                    <w:jc w:val="center"/>
                    <w:rPr>
                      <w:lang w:eastAsia="fr-FR"/>
                    </w:rPr>
                  </w:pPr>
                  <w:r w:rsidRPr="00B87185">
                    <w:rPr>
                      <w:lang w:eastAsia="fr-FR"/>
                    </w:rPr>
                    <w:t>Region 2</w:t>
                  </w:r>
                </w:p>
              </w:tc>
              <w:tc>
                <w:tcPr>
                  <w:tcW w:w="2386" w:type="dxa"/>
                  <w:shd w:val="clear" w:color="auto" w:fill="auto"/>
                </w:tcPr>
                <w:p w14:paraId="16CE1F1C" w14:textId="77777777" w:rsidR="00B87185" w:rsidRPr="00B87185" w:rsidRDefault="00B87185" w:rsidP="00B87185">
                  <w:pPr>
                    <w:spacing w:after="0" w:line="276" w:lineRule="auto"/>
                    <w:jc w:val="center"/>
                    <w:rPr>
                      <w:lang w:eastAsia="fr-FR"/>
                    </w:rPr>
                  </w:pPr>
                  <w:r w:rsidRPr="00B87185">
                    <w:rPr>
                      <w:lang w:eastAsia="fr-FR"/>
                    </w:rPr>
                    <w:t>Region 3</w:t>
                  </w:r>
                </w:p>
              </w:tc>
            </w:tr>
            <w:tr w:rsidR="00B87185" w:rsidRPr="00B87185" w14:paraId="070CD63B" w14:textId="77777777" w:rsidTr="00BD0462">
              <w:tc>
                <w:tcPr>
                  <w:tcW w:w="2386" w:type="dxa"/>
                  <w:shd w:val="clear" w:color="auto" w:fill="auto"/>
                </w:tcPr>
                <w:p w14:paraId="26DB072B" w14:textId="77777777" w:rsidR="00B87185" w:rsidRPr="00B87185" w:rsidRDefault="00B87185" w:rsidP="00B87185">
                  <w:pPr>
                    <w:spacing w:after="0" w:line="276" w:lineRule="auto"/>
                    <w:rPr>
                      <w:lang w:eastAsia="fr-FR"/>
                    </w:rPr>
                  </w:pPr>
                  <w:r w:rsidRPr="00B87185">
                    <w:rPr>
                      <w:lang w:eastAsia="fr-FR"/>
                    </w:rPr>
                    <w:t>Downlink (space to earth)</w:t>
                  </w:r>
                </w:p>
              </w:tc>
              <w:tc>
                <w:tcPr>
                  <w:tcW w:w="2386" w:type="dxa"/>
                  <w:shd w:val="clear" w:color="auto" w:fill="auto"/>
                </w:tcPr>
                <w:p w14:paraId="3BAED45D" w14:textId="77777777" w:rsidR="00B87185" w:rsidRPr="00B87185" w:rsidRDefault="00B87185" w:rsidP="00B87185">
                  <w:pPr>
                    <w:spacing w:after="0" w:line="276" w:lineRule="auto"/>
                    <w:jc w:val="center"/>
                    <w:rPr>
                      <w:lang w:eastAsia="fr-FR"/>
                    </w:rPr>
                  </w:pPr>
                  <w:r w:rsidRPr="00B87185">
                    <w:rPr>
                      <w:bCs/>
                      <w:lang w:eastAsia="fr-FR"/>
                    </w:rPr>
                    <w:t xml:space="preserve">1613.8 – 1626.5 MHz </w:t>
                  </w:r>
                  <w:r w:rsidRPr="00B87185">
                    <w:rPr>
                      <w:bCs/>
                      <w:i/>
                      <w:lang w:eastAsia="fr-FR"/>
                    </w:rPr>
                    <w:t>(Note 2)</w:t>
                  </w:r>
                </w:p>
              </w:tc>
              <w:tc>
                <w:tcPr>
                  <w:tcW w:w="2386" w:type="dxa"/>
                  <w:shd w:val="clear" w:color="auto" w:fill="auto"/>
                </w:tcPr>
                <w:p w14:paraId="3D15C229" w14:textId="77777777" w:rsidR="00B87185" w:rsidRPr="00B87185" w:rsidRDefault="00B87185" w:rsidP="00B87185">
                  <w:pPr>
                    <w:spacing w:after="0" w:line="276" w:lineRule="auto"/>
                    <w:jc w:val="center"/>
                    <w:rPr>
                      <w:lang w:eastAsia="fr-FR"/>
                    </w:rPr>
                  </w:pPr>
                  <w:r w:rsidRPr="00B87185">
                    <w:rPr>
                      <w:bCs/>
                      <w:lang w:eastAsia="fr-FR"/>
                    </w:rPr>
                    <w:t xml:space="preserve">1613.8 – 1626.5 MHz </w:t>
                  </w:r>
                  <w:r w:rsidRPr="00B87185">
                    <w:rPr>
                      <w:bCs/>
                      <w:i/>
                      <w:lang w:eastAsia="fr-FR"/>
                    </w:rPr>
                    <w:t>(Note 3)</w:t>
                  </w:r>
                </w:p>
              </w:tc>
              <w:tc>
                <w:tcPr>
                  <w:tcW w:w="2386" w:type="dxa"/>
                  <w:shd w:val="clear" w:color="auto" w:fill="auto"/>
                </w:tcPr>
                <w:p w14:paraId="06C67896" w14:textId="77777777" w:rsidR="00B87185" w:rsidRPr="00B87185" w:rsidRDefault="00B87185" w:rsidP="00B87185">
                  <w:pPr>
                    <w:spacing w:after="0" w:line="276" w:lineRule="auto"/>
                    <w:jc w:val="center"/>
                    <w:rPr>
                      <w:lang w:eastAsia="fr-FR"/>
                    </w:rPr>
                  </w:pPr>
                  <w:r w:rsidRPr="00B87185">
                    <w:rPr>
                      <w:bCs/>
                      <w:lang w:eastAsia="fr-FR"/>
                    </w:rPr>
                    <w:t xml:space="preserve">1613.8 – 1626.5 MHz </w:t>
                  </w:r>
                  <w:r w:rsidRPr="00B87185">
                    <w:rPr>
                      <w:bCs/>
                      <w:i/>
                      <w:lang w:eastAsia="fr-FR"/>
                    </w:rPr>
                    <w:t>(Note 2)</w:t>
                  </w:r>
                </w:p>
              </w:tc>
            </w:tr>
            <w:tr w:rsidR="00B87185" w:rsidRPr="00B87185" w14:paraId="2AD0124C" w14:textId="77777777" w:rsidTr="00B87185">
              <w:trPr>
                <w:trHeight w:val="372"/>
              </w:trPr>
              <w:tc>
                <w:tcPr>
                  <w:tcW w:w="2386" w:type="dxa"/>
                  <w:tcBorders>
                    <w:top w:val="single" w:sz="4" w:space="0" w:color="auto"/>
                    <w:left w:val="single" w:sz="4" w:space="0" w:color="auto"/>
                    <w:bottom w:val="single" w:sz="4" w:space="0" w:color="auto"/>
                    <w:right w:val="single" w:sz="4" w:space="0" w:color="auto"/>
                  </w:tcBorders>
                  <w:shd w:val="clear" w:color="auto" w:fill="auto"/>
                </w:tcPr>
                <w:p w14:paraId="128350B4" w14:textId="77777777" w:rsidR="00B87185" w:rsidRPr="00B87185" w:rsidRDefault="00B87185" w:rsidP="00B87185">
                  <w:pPr>
                    <w:spacing w:after="0" w:line="276" w:lineRule="auto"/>
                    <w:rPr>
                      <w:lang w:eastAsia="fr-FR"/>
                    </w:rPr>
                  </w:pPr>
                  <w:r w:rsidRPr="00B87185">
                    <w:rPr>
                      <w:lang w:eastAsia="fr-FR"/>
                    </w:rPr>
                    <w:t>Uplink (earth to space)</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52BBD6DE" w14:textId="77777777" w:rsidR="00B87185" w:rsidRPr="00B87185" w:rsidRDefault="00B87185" w:rsidP="00B87185">
                  <w:pPr>
                    <w:spacing w:after="0" w:line="276" w:lineRule="auto"/>
                    <w:jc w:val="center"/>
                    <w:rPr>
                      <w:bCs/>
                      <w:lang w:eastAsia="fr-FR"/>
                    </w:rPr>
                  </w:pPr>
                  <w:r w:rsidRPr="00B87185">
                    <w:rPr>
                      <w:bCs/>
                      <w:lang w:eastAsia="fr-FR"/>
                    </w:rPr>
                    <w:t>1610.0 – 1626.5 MHz</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0B2ED573" w14:textId="77777777" w:rsidR="00B87185" w:rsidRPr="00B87185" w:rsidRDefault="00B87185" w:rsidP="00B87185">
                  <w:pPr>
                    <w:spacing w:after="0" w:line="276" w:lineRule="auto"/>
                    <w:jc w:val="center"/>
                    <w:rPr>
                      <w:bCs/>
                      <w:lang w:eastAsia="fr-FR"/>
                    </w:rPr>
                  </w:pPr>
                  <w:r w:rsidRPr="00B87185">
                    <w:rPr>
                      <w:bCs/>
                      <w:lang w:eastAsia="fr-FR"/>
                    </w:rPr>
                    <w:t>1610.0 – 1626.5 MHz</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1EBF453E" w14:textId="77777777" w:rsidR="00B87185" w:rsidRPr="00B87185" w:rsidRDefault="00B87185" w:rsidP="00B87185">
                  <w:pPr>
                    <w:spacing w:after="0" w:line="276" w:lineRule="auto"/>
                    <w:jc w:val="center"/>
                    <w:rPr>
                      <w:bCs/>
                      <w:lang w:eastAsia="fr-FR"/>
                    </w:rPr>
                  </w:pPr>
                  <w:r w:rsidRPr="00B87185">
                    <w:rPr>
                      <w:bCs/>
                      <w:lang w:eastAsia="fr-FR"/>
                    </w:rPr>
                    <w:t>1610.0 – 1626.5 MHz</w:t>
                  </w:r>
                </w:p>
              </w:tc>
            </w:tr>
          </w:tbl>
          <w:p w14:paraId="0B5ABEFC" w14:textId="77777777" w:rsidR="00B87185" w:rsidRPr="00B87185" w:rsidRDefault="00B87185" w:rsidP="00B87185">
            <w:pPr>
              <w:spacing w:after="0"/>
              <w:rPr>
                <w:lang w:eastAsia="fr-FR"/>
              </w:rPr>
            </w:pPr>
          </w:p>
          <w:p w14:paraId="335D8710" w14:textId="77777777" w:rsidR="00B87185" w:rsidRPr="00B87185" w:rsidRDefault="00B87185" w:rsidP="00B87185">
            <w:pPr>
              <w:spacing w:after="0"/>
              <w:rPr>
                <w:lang w:eastAsia="fr-FR"/>
              </w:rPr>
            </w:pPr>
            <w:r w:rsidRPr="00B87185">
              <w:rPr>
                <w:i/>
                <w:lang w:eastAsia="fr-FR"/>
              </w:rPr>
              <w:t>Note 3:</w:t>
            </w:r>
            <w:r w:rsidRPr="00B87185">
              <w:rPr>
                <w:lang w:eastAsia="fr-FR"/>
              </w:rPr>
              <w:t xml:space="preserve"> In the table above, the 1613.8-1626.5 MHz segment is allocated for downlink operations (space-to-Earth) on a secondary basis.</w:t>
            </w:r>
          </w:p>
          <w:p w14:paraId="421F0C90" w14:textId="77777777" w:rsidR="00473C79" w:rsidRPr="00473C79" w:rsidRDefault="00473C79" w:rsidP="002B01EC">
            <w:pPr>
              <w:jc w:val="both"/>
              <w:rPr>
                <w:lang w:eastAsia="zh-CN"/>
              </w:rPr>
            </w:pPr>
          </w:p>
        </w:tc>
      </w:tr>
    </w:tbl>
    <w:p w14:paraId="3590DC74" w14:textId="61C59CEA" w:rsidR="002B01EC" w:rsidRDefault="002B01EC" w:rsidP="002B01EC">
      <w:pPr>
        <w:jc w:val="both"/>
        <w:rPr>
          <w:lang w:val="en-US" w:eastAsia="zh-CN"/>
        </w:rPr>
      </w:pPr>
    </w:p>
    <w:p w14:paraId="7521AED2" w14:textId="2FE25BE4" w:rsidR="00B87185" w:rsidRDefault="00B87185" w:rsidP="002B01EC">
      <w:pPr>
        <w:jc w:val="both"/>
        <w:rPr>
          <w:lang w:val="en-US" w:eastAsia="zh-CN"/>
        </w:rPr>
      </w:pPr>
      <w:r>
        <w:rPr>
          <w:lang w:val="en-US" w:eastAsia="zh-CN"/>
        </w:rPr>
        <w:t>And the GNSS band allocation is as below [4]</w:t>
      </w:r>
    </w:p>
    <w:p w14:paraId="7549DC66" w14:textId="77777777" w:rsidR="00B87185" w:rsidRDefault="00B87185" w:rsidP="00B87185">
      <w:pPr>
        <w:keepNext/>
        <w:overflowPunct/>
        <w:autoSpaceDE/>
        <w:autoSpaceDN/>
        <w:adjustRightInd/>
        <w:spacing w:after="0"/>
        <w:jc w:val="center"/>
        <w:textAlignment w:val="auto"/>
      </w:pPr>
      <w:r w:rsidRPr="00B87185">
        <w:rPr>
          <w:rFonts w:eastAsia="Times New Roman"/>
          <w:sz w:val="24"/>
          <w:szCs w:val="24"/>
          <w:lang w:val="en-US" w:eastAsia="zh-CN"/>
        </w:rPr>
        <w:fldChar w:fldCharType="begin"/>
      </w:r>
      <w:r w:rsidRPr="00B87185">
        <w:rPr>
          <w:rFonts w:eastAsia="Times New Roman"/>
          <w:sz w:val="24"/>
          <w:szCs w:val="24"/>
          <w:lang w:val="en-US" w:eastAsia="zh-CN"/>
        </w:rPr>
        <w:instrText xml:space="preserve"> INCLUDEPICTURE "/var/folders/q3/7dq8lwcx6917mqqbjm6xs1q40000gn/T/com.microsoft.Word/WebArchiveCopyPasteTempFiles/GNSS_navigational_frequency_bands.png" \* MERGEFORMATINET </w:instrText>
      </w:r>
      <w:r w:rsidRPr="00B87185">
        <w:rPr>
          <w:rFonts w:eastAsia="Times New Roman"/>
          <w:sz w:val="24"/>
          <w:szCs w:val="24"/>
          <w:lang w:val="en-US" w:eastAsia="zh-CN"/>
        </w:rPr>
        <w:fldChar w:fldCharType="separate"/>
      </w:r>
      <w:r w:rsidRPr="00B87185">
        <w:rPr>
          <w:rFonts w:eastAsia="Times New Roman"/>
          <w:noProof/>
          <w:sz w:val="24"/>
          <w:szCs w:val="24"/>
          <w:lang w:val="en-US" w:eastAsia="zh-CN"/>
        </w:rPr>
        <w:drawing>
          <wp:inline distT="0" distB="0" distL="0" distR="0" wp14:anchorId="0964EBED" wp14:editId="7F00C57A">
            <wp:extent cx="5086056" cy="2785485"/>
            <wp:effectExtent l="12700" t="12700" r="6985" b="889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2174" cy="2788835"/>
                    </a:xfrm>
                    <a:prstGeom prst="rect">
                      <a:avLst/>
                    </a:prstGeom>
                    <a:noFill/>
                    <a:ln>
                      <a:solidFill>
                        <a:schemeClr val="accent1"/>
                      </a:solidFill>
                    </a:ln>
                  </pic:spPr>
                </pic:pic>
              </a:graphicData>
            </a:graphic>
          </wp:inline>
        </w:drawing>
      </w:r>
      <w:r w:rsidRPr="00B87185">
        <w:rPr>
          <w:rFonts w:eastAsia="Times New Roman"/>
          <w:sz w:val="24"/>
          <w:szCs w:val="24"/>
          <w:lang w:val="en-US" w:eastAsia="zh-CN"/>
        </w:rPr>
        <w:fldChar w:fldCharType="end"/>
      </w:r>
    </w:p>
    <w:p w14:paraId="7FBB949F" w14:textId="4BDB7091" w:rsidR="00B87185" w:rsidRPr="00B87185" w:rsidRDefault="00B87185" w:rsidP="00B87185">
      <w:pPr>
        <w:pStyle w:val="Caption"/>
        <w:jc w:val="center"/>
        <w:rPr>
          <w:rFonts w:eastAsia="Times New Roman"/>
          <w:sz w:val="24"/>
          <w:szCs w:val="24"/>
          <w:lang w:val="en-US" w:eastAsia="zh-CN"/>
        </w:rPr>
      </w:pPr>
      <w:r>
        <w:t xml:space="preserve">Figure </w:t>
      </w:r>
      <w:r>
        <w:fldChar w:fldCharType="begin"/>
      </w:r>
      <w:r>
        <w:instrText xml:space="preserve"> SEQ Figure \* ARABIC </w:instrText>
      </w:r>
      <w:r>
        <w:fldChar w:fldCharType="separate"/>
      </w:r>
      <w:r>
        <w:rPr>
          <w:noProof/>
        </w:rPr>
        <w:t>1</w:t>
      </w:r>
      <w:r>
        <w:fldChar w:fldCharType="end"/>
      </w:r>
      <w:r>
        <w:t>. GNSS band allocation [4]</w:t>
      </w:r>
    </w:p>
    <w:p w14:paraId="17295BE7" w14:textId="5BA4CC09" w:rsidR="002B01EC" w:rsidRDefault="002B01EC" w:rsidP="002B01EC">
      <w:pPr>
        <w:jc w:val="both"/>
        <w:rPr>
          <w:sz w:val="13"/>
          <w:szCs w:val="13"/>
          <w:lang w:val="en-US" w:eastAsia="zh-CN"/>
        </w:rPr>
      </w:pPr>
    </w:p>
    <w:p w14:paraId="5C3452B4" w14:textId="30D4B7F6" w:rsidR="00B87185" w:rsidRDefault="00B87185" w:rsidP="002B01EC">
      <w:pPr>
        <w:jc w:val="both"/>
        <w:rPr>
          <w:lang w:val="en-US" w:eastAsia="zh-CN"/>
        </w:rPr>
      </w:pPr>
      <w:r w:rsidRPr="00B87185">
        <w:rPr>
          <w:lang w:val="en-US" w:eastAsia="zh-CN"/>
        </w:rPr>
        <w:t>Thus</w:t>
      </w:r>
      <w:r>
        <w:rPr>
          <w:lang w:val="en-US" w:eastAsia="zh-CN"/>
        </w:rPr>
        <w:t>,</w:t>
      </w:r>
      <w:r w:rsidRPr="00B87185">
        <w:rPr>
          <w:lang w:val="en-US" w:eastAsia="zh-CN"/>
        </w:rPr>
        <w:t xml:space="preserve"> the L-band of NTN uplink is very close to the GNSS upper L-band</w:t>
      </w:r>
      <w:r>
        <w:rPr>
          <w:lang w:val="en-US" w:eastAsia="zh-CN"/>
        </w:rPr>
        <w:t xml:space="preserve"> on the frequency domain, e.g., NTN uplink L-band to G1 band of GLONASS. As shown in the following figure 2, at UE, the transmission of NTN uplink signal may cause interference to the GNSS measurement on L1/E1/G1 band.</w:t>
      </w:r>
      <w:r w:rsidR="00D6239D">
        <w:rPr>
          <w:lang w:val="en-US" w:eastAsia="zh-CN"/>
        </w:rPr>
        <w:t xml:space="preserve"> In NTN RRM, the GNSS measurement is quite important/essential to the NTN connection, since for instance the UE specific TA is derived based on </w:t>
      </w:r>
      <w:r w:rsidR="00D6239D" w:rsidRPr="00D6239D">
        <w:rPr>
          <w:lang w:val="en-US" w:eastAsia="zh-CN"/>
        </w:rPr>
        <w:t>self-estimation</w:t>
      </w:r>
      <w:r w:rsidR="00D6239D">
        <w:rPr>
          <w:lang w:val="en-US" w:eastAsia="zh-CN"/>
        </w:rPr>
        <w:t xml:space="preserve"> with GNSS capability and </w:t>
      </w:r>
      <w:r w:rsidR="00D6239D" w:rsidRPr="00D6239D">
        <w:rPr>
          <w:lang w:val="en-US" w:eastAsia="zh-CN"/>
        </w:rPr>
        <w:t>calculate frequency pre-compensation</w:t>
      </w:r>
      <w:r w:rsidR="00D6239D">
        <w:rPr>
          <w:lang w:val="en-US" w:eastAsia="zh-CN"/>
        </w:rPr>
        <w:t xml:space="preserve"> on service link is also based on UE GNSS positioning. Furthermore, from RAN1 conclusion, NTN UE is mandatory to support GNSS for ILD/INACTIVE/CONNECTED and therefore the GNSS measurement is a mandatory UE behavior when UE is working in NTN system. </w:t>
      </w:r>
    </w:p>
    <w:p w14:paraId="116A06D4" w14:textId="77777777" w:rsidR="00B87185" w:rsidRDefault="00B87185" w:rsidP="00B87185">
      <w:pPr>
        <w:keepNext/>
        <w:jc w:val="center"/>
      </w:pPr>
      <w:r w:rsidRPr="00B87185">
        <w:rPr>
          <w:noProof/>
          <w:lang w:val="en-US" w:eastAsia="zh-CN"/>
        </w:rPr>
        <w:lastRenderedPageBreak/>
        <w:drawing>
          <wp:inline distT="0" distB="0" distL="0" distR="0" wp14:anchorId="4DF78F35" wp14:editId="415F8FE0">
            <wp:extent cx="4117442" cy="1568549"/>
            <wp:effectExtent l="0" t="0" r="0" b="635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9"/>
                    <a:stretch>
                      <a:fillRect/>
                    </a:stretch>
                  </pic:blipFill>
                  <pic:spPr>
                    <a:xfrm>
                      <a:off x="0" y="0"/>
                      <a:ext cx="4137861" cy="1576327"/>
                    </a:xfrm>
                    <a:prstGeom prst="rect">
                      <a:avLst/>
                    </a:prstGeom>
                  </pic:spPr>
                </pic:pic>
              </a:graphicData>
            </a:graphic>
          </wp:inline>
        </w:drawing>
      </w:r>
    </w:p>
    <w:p w14:paraId="59C3E562" w14:textId="209178EF" w:rsidR="00B87185" w:rsidRPr="00B87185" w:rsidRDefault="00B87185" w:rsidP="00B87185">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NTN L-band transmission may have IDC interference to GNSS measurement</w:t>
      </w:r>
    </w:p>
    <w:p w14:paraId="4BE719F5" w14:textId="10967365" w:rsidR="00A42E04" w:rsidRDefault="00D6239D" w:rsidP="00E84028">
      <w:pPr>
        <w:jc w:val="both"/>
        <w:rPr>
          <w:lang w:val="en-US" w:eastAsia="zh-CN"/>
        </w:rPr>
      </w:pPr>
      <w:r>
        <w:rPr>
          <w:lang w:val="en-US" w:eastAsia="zh-CN"/>
        </w:rPr>
        <w:t xml:space="preserve">In case the IDC interference from NTN transmission to GNSS measurement on </w:t>
      </w:r>
      <w:r w:rsidR="00E84028">
        <w:rPr>
          <w:lang w:val="en-US" w:eastAsia="zh-CN"/>
        </w:rPr>
        <w:t>L-band is serious, RAN4 need</w:t>
      </w:r>
      <w:r w:rsidR="004072B9">
        <w:rPr>
          <w:lang w:val="en-US" w:eastAsia="zh-CN"/>
        </w:rPr>
        <w:t>s</w:t>
      </w:r>
      <w:r w:rsidR="00E84028">
        <w:rPr>
          <w:lang w:val="en-US" w:eastAsia="zh-CN"/>
        </w:rPr>
        <w:t xml:space="preserve"> to find some solutions to avoid such interference. However, actually it’s an RF related issue, and we propose to </w:t>
      </w:r>
      <w:r w:rsidR="00E84028" w:rsidRPr="00E84028">
        <w:rPr>
          <w:lang w:val="en-US" w:eastAsia="zh-CN"/>
        </w:rPr>
        <w:t xml:space="preserve">determine whether interruptions or measurement gaps is expected for GNSS measurements during NTN operation after the IDC interference </w:t>
      </w:r>
      <w:r w:rsidR="00E84028">
        <w:rPr>
          <w:lang w:val="en-US" w:eastAsia="zh-CN"/>
        </w:rPr>
        <w:t xml:space="preserve">from L-band NTN to GNSS </w:t>
      </w:r>
      <w:r w:rsidR="00E84028" w:rsidRPr="00E84028">
        <w:rPr>
          <w:lang w:val="en-US" w:eastAsia="zh-CN"/>
        </w:rPr>
        <w:t xml:space="preserve">is </w:t>
      </w:r>
      <w:r w:rsidR="00E84028">
        <w:rPr>
          <w:lang w:val="en-US" w:eastAsia="zh-CN"/>
        </w:rPr>
        <w:t>evaluated/confirmed</w:t>
      </w:r>
      <w:r w:rsidR="00E84028" w:rsidRPr="00E84028">
        <w:rPr>
          <w:lang w:val="en-US" w:eastAsia="zh-CN"/>
        </w:rPr>
        <w:t xml:space="preserve"> in RF session. </w:t>
      </w:r>
    </w:p>
    <w:p w14:paraId="5A98069C" w14:textId="308D5217" w:rsidR="00E84028" w:rsidRPr="00E84028" w:rsidRDefault="00E84028" w:rsidP="00E84028">
      <w:pPr>
        <w:jc w:val="both"/>
        <w:rPr>
          <w:b/>
          <w:bCs/>
          <w:i/>
          <w:iCs/>
          <w:lang w:val="en-US" w:eastAsia="zh-CN"/>
        </w:rPr>
      </w:pPr>
      <w:r w:rsidRPr="00E84028">
        <w:rPr>
          <w:b/>
          <w:bCs/>
          <w:i/>
          <w:iCs/>
          <w:lang w:val="en-US" w:eastAsia="zh-CN"/>
        </w:rPr>
        <w:t>Proposal: RRM room would determine whether interruptions or measurement gaps is expected for GNSS measurements during NTN operation after the IDC interference from L-band NTN to GNSS is evaluated/confirmed in RF session.</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A7F9C4C" w14:textId="77777777" w:rsidR="00E84028" w:rsidRDefault="00E84028" w:rsidP="00E84028">
      <w:pPr>
        <w:jc w:val="both"/>
        <w:rPr>
          <w:lang w:val="en-US" w:eastAsia="zh-CN"/>
        </w:rPr>
      </w:pPr>
      <w:r>
        <w:rPr>
          <w:lang w:val="en-US" w:eastAsia="zh-CN"/>
        </w:rPr>
        <w:t xml:space="preserve">In this contribution, we discuss </w:t>
      </w:r>
      <w:r w:rsidR="002B01EC" w:rsidRPr="002B01EC">
        <w:rPr>
          <w:lang w:val="en-US" w:eastAsia="zh-CN"/>
        </w:rPr>
        <w:t>whether interruptions or measurement gaps is expected for GNSS measurements during NTN operation</w:t>
      </w:r>
      <w:r>
        <w:rPr>
          <w:lang w:val="en-US" w:eastAsia="zh-CN"/>
        </w:rPr>
        <w:t>.</w:t>
      </w:r>
    </w:p>
    <w:p w14:paraId="0B53C6B1" w14:textId="3F29B376" w:rsidR="00D45A59" w:rsidRPr="00E84028" w:rsidRDefault="00E84028" w:rsidP="00D45A59">
      <w:pPr>
        <w:jc w:val="both"/>
        <w:rPr>
          <w:b/>
          <w:bCs/>
          <w:i/>
          <w:iCs/>
          <w:lang w:val="en-US" w:eastAsia="zh-CN"/>
        </w:rPr>
      </w:pPr>
      <w:r w:rsidRPr="00E84028">
        <w:rPr>
          <w:b/>
          <w:bCs/>
          <w:i/>
          <w:iCs/>
          <w:lang w:val="en-US" w:eastAsia="zh-CN"/>
        </w:rPr>
        <w:t>Proposal: RRM room would determine whether interruptions or measurement gaps is expected for GNSS measurements during NTN operation after the IDC interference from L-band NTN to GNSS is evaluated/confirmed in RF session.</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11660C2F" w:rsidR="004D4ED2" w:rsidRDefault="009D56DB" w:rsidP="005A1E0E">
      <w:pPr>
        <w:rPr>
          <w:lang w:eastAsia="zh-CN"/>
        </w:rPr>
      </w:pPr>
      <w:r>
        <w:rPr>
          <w:lang w:eastAsia="zh-CN"/>
        </w:rPr>
        <w:t xml:space="preserve">[1] </w:t>
      </w:r>
      <w:r w:rsidR="002B01EC" w:rsidRPr="005619B3">
        <w:rPr>
          <w:lang w:val="en-US" w:eastAsia="zh-CN"/>
        </w:rPr>
        <w:t>R4-2103682</w:t>
      </w:r>
      <w:r w:rsidR="00B610C9">
        <w:rPr>
          <w:lang w:eastAsia="zh-CN"/>
        </w:rPr>
        <w:t xml:space="preserve">, </w:t>
      </w:r>
      <w:r w:rsidR="002B01EC" w:rsidRPr="005619B3">
        <w:rPr>
          <w:lang w:val="en-US" w:eastAsia="zh-CN"/>
        </w:rPr>
        <w:t>WF on NTN RRM measurement requirements</w:t>
      </w:r>
      <w:r w:rsidR="00A56205">
        <w:rPr>
          <w:lang w:eastAsia="zh-CN"/>
        </w:rPr>
        <w:t xml:space="preserve">, </w:t>
      </w:r>
      <w:r w:rsidR="002B01EC">
        <w:rPr>
          <w:lang w:eastAsia="zh-CN"/>
        </w:rPr>
        <w:t>Qualcomm</w:t>
      </w:r>
      <w:r w:rsidR="00A56205">
        <w:rPr>
          <w:lang w:eastAsia="zh-CN"/>
        </w:rPr>
        <w:t>, RAN</w:t>
      </w:r>
      <w:r w:rsidR="00B610C9">
        <w:rPr>
          <w:lang w:eastAsia="zh-CN"/>
        </w:rPr>
        <w:t>4</w:t>
      </w:r>
      <w:r w:rsidR="004E6B05">
        <w:rPr>
          <w:lang w:eastAsia="zh-CN"/>
        </w:rPr>
        <w:t xml:space="preserve"> #9</w:t>
      </w:r>
      <w:r w:rsidR="00B610C9">
        <w:rPr>
          <w:lang w:eastAsia="zh-CN"/>
        </w:rPr>
        <w:t>8e</w:t>
      </w:r>
    </w:p>
    <w:p w14:paraId="12EE29D7" w14:textId="38B9DC9C" w:rsidR="002B01EC" w:rsidRDefault="002B01EC" w:rsidP="005A1E0E">
      <w:pPr>
        <w:rPr>
          <w:lang w:eastAsia="zh-CN"/>
        </w:rPr>
      </w:pPr>
      <w:r>
        <w:rPr>
          <w:lang w:eastAsia="zh-CN"/>
        </w:rPr>
        <w:t xml:space="preserve">[2] </w:t>
      </w:r>
      <w:r w:rsidRPr="002B01EC">
        <w:rPr>
          <w:lang w:val="en-US" w:eastAsia="zh-CN"/>
        </w:rPr>
        <w:t>R4-2103877</w:t>
      </w:r>
      <w:r>
        <w:rPr>
          <w:lang w:val="en-US" w:eastAsia="zh-CN"/>
        </w:rPr>
        <w:t xml:space="preserve">, </w:t>
      </w:r>
      <w:r w:rsidRPr="002B01EC">
        <w:rPr>
          <w:lang w:eastAsia="zh-CN"/>
        </w:rPr>
        <w:t>WF for NTN General Part</w:t>
      </w:r>
      <w:r>
        <w:rPr>
          <w:lang w:eastAsia="zh-CN"/>
        </w:rPr>
        <w:t xml:space="preserve">, </w:t>
      </w:r>
      <w:r w:rsidRPr="002B01EC">
        <w:rPr>
          <w:lang w:eastAsia="zh-CN"/>
        </w:rPr>
        <w:t>THALES</w:t>
      </w:r>
      <w:r>
        <w:rPr>
          <w:lang w:eastAsia="zh-CN"/>
        </w:rPr>
        <w:t>, RAN4 #98e</w:t>
      </w:r>
    </w:p>
    <w:p w14:paraId="28CF2B49" w14:textId="4F161187" w:rsidR="00473C79" w:rsidRDefault="00473C79" w:rsidP="005A1E0E">
      <w:pPr>
        <w:rPr>
          <w:lang w:eastAsia="zh-CN"/>
        </w:rPr>
      </w:pPr>
      <w:r>
        <w:rPr>
          <w:lang w:eastAsia="zh-CN"/>
        </w:rPr>
        <w:t xml:space="preserve">[3] </w:t>
      </w:r>
      <w:r w:rsidRPr="00473C79">
        <w:rPr>
          <w:lang w:eastAsia="zh-CN"/>
        </w:rPr>
        <w:t>R4-2006894</w:t>
      </w:r>
      <w:r>
        <w:rPr>
          <w:lang w:eastAsia="zh-CN"/>
        </w:rPr>
        <w:t xml:space="preserve">, </w:t>
      </w:r>
      <w:r w:rsidRPr="00473C79">
        <w:rPr>
          <w:lang w:eastAsia="zh-CN"/>
        </w:rPr>
        <w:t>Thales, Hughes Network Systems Ltd, Intelsat</w:t>
      </w:r>
      <w:r>
        <w:rPr>
          <w:lang w:eastAsia="zh-CN"/>
        </w:rPr>
        <w:t>, RAN4 #95-e</w:t>
      </w:r>
    </w:p>
    <w:p w14:paraId="1CAB3A04" w14:textId="6453B9CA" w:rsidR="00B87185" w:rsidRDefault="00B87185" w:rsidP="005A1E0E">
      <w:pPr>
        <w:rPr>
          <w:lang w:eastAsia="zh-CN"/>
        </w:rPr>
      </w:pPr>
      <w:r>
        <w:rPr>
          <w:lang w:eastAsia="zh-CN"/>
        </w:rPr>
        <w:t xml:space="preserve">[4] </w:t>
      </w:r>
      <w:hyperlink r:id="rId10" w:history="1">
        <w:r w:rsidRPr="00F0064A">
          <w:rPr>
            <w:rStyle w:val="Hyperlink"/>
            <w:lang w:eastAsia="zh-CN"/>
          </w:rPr>
          <w:t>https://gssc.esa.int/navipedia/index.php/GNSS_signal</w:t>
        </w:r>
      </w:hyperlink>
    </w:p>
    <w:p w14:paraId="3CCDA2DC" w14:textId="77777777" w:rsidR="00B87185" w:rsidRPr="005A1E0E" w:rsidRDefault="00B87185" w:rsidP="005A1E0E">
      <w:pPr>
        <w:rPr>
          <w:lang w:eastAsia="zh-CN"/>
        </w:rPr>
      </w:pPr>
    </w:p>
    <w:sectPr w:rsidR="00B87185"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093BD" w14:textId="77777777" w:rsidR="001C1C27" w:rsidRDefault="001C1C27">
      <w:pPr>
        <w:spacing w:after="0"/>
      </w:pPr>
      <w:r>
        <w:separator/>
      </w:r>
    </w:p>
  </w:endnote>
  <w:endnote w:type="continuationSeparator" w:id="0">
    <w:p w14:paraId="5F1C8B54" w14:textId="77777777" w:rsidR="001C1C27" w:rsidRDefault="001C1C27">
      <w:pPr>
        <w:spacing w:after="0"/>
      </w:pPr>
      <w:r>
        <w:continuationSeparator/>
      </w:r>
    </w:p>
  </w:endnote>
  <w:endnote w:type="continuationNotice" w:id="1">
    <w:p w14:paraId="30251E87" w14:textId="77777777" w:rsidR="001C1C27" w:rsidRDefault="001C1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褜ԝ퉰칹翯"/>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6B259" w14:textId="77777777" w:rsidR="001C1C27" w:rsidRDefault="001C1C27">
      <w:pPr>
        <w:spacing w:after="0"/>
      </w:pPr>
      <w:r>
        <w:separator/>
      </w:r>
    </w:p>
  </w:footnote>
  <w:footnote w:type="continuationSeparator" w:id="0">
    <w:p w14:paraId="063229AF" w14:textId="77777777" w:rsidR="001C1C27" w:rsidRDefault="001C1C27">
      <w:pPr>
        <w:spacing w:after="0"/>
      </w:pPr>
      <w:r>
        <w:continuationSeparator/>
      </w:r>
    </w:p>
  </w:footnote>
  <w:footnote w:type="continuationNotice" w:id="1">
    <w:p w14:paraId="3C5B6AA5" w14:textId="77777777" w:rsidR="001C1C27" w:rsidRDefault="001C1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5851C4"/>
    <w:multiLevelType w:val="hybridMultilevel"/>
    <w:tmpl w:val="38AEEDDE"/>
    <w:lvl w:ilvl="0" w:tplc="3A0070E2">
      <w:start w:val="12"/>
      <w:numFmt w:val="bullet"/>
      <w:lvlText w:val="-"/>
      <w:lvlJc w:val="left"/>
      <w:pPr>
        <w:ind w:left="644" w:hanging="360"/>
      </w:pPr>
      <w:rPr>
        <w:rFonts w:ascii="Times New Roman" w:eastAsia="MS Mincho" w:hAnsi="Times New Roman" w:cs="Times New Roman" w:hint="default"/>
      </w:rPr>
    </w:lvl>
    <w:lvl w:ilvl="1" w:tplc="3A0070E2">
      <w:start w:val="12"/>
      <w:numFmt w:val="bullet"/>
      <w:lvlText w:val="-"/>
      <w:lvlJc w:val="left"/>
      <w:pPr>
        <w:ind w:left="644" w:hanging="360"/>
      </w:pPr>
      <w:rPr>
        <w:rFonts w:ascii="Times New Roman" w:eastAsia="MS Mincho" w:hAnsi="Times New Roman" w:cs="Times New Roman" w:hint="default"/>
      </w:rPr>
    </w:lvl>
    <w:lvl w:ilvl="2" w:tplc="04090001">
      <w:start w:val="1"/>
      <w:numFmt w:val="bullet"/>
      <w:lvlText w:val=""/>
      <w:lvlJc w:val="left"/>
      <w:pPr>
        <w:ind w:left="-76"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AE10A8"/>
    <w:multiLevelType w:val="hybridMultilevel"/>
    <w:tmpl w:val="407AF49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D573C5"/>
    <w:multiLevelType w:val="hybridMultilevel"/>
    <w:tmpl w:val="53DC94CC"/>
    <w:lvl w:ilvl="0" w:tplc="DD464870">
      <w:start w:val="1"/>
      <w:numFmt w:val="bullet"/>
      <w:lvlText w:val="•"/>
      <w:lvlJc w:val="left"/>
      <w:pPr>
        <w:tabs>
          <w:tab w:val="num" w:pos="720"/>
        </w:tabs>
        <w:ind w:left="720" w:hanging="360"/>
      </w:pPr>
      <w:rPr>
        <w:rFonts w:ascii="Arial" w:hAnsi="Arial" w:hint="default"/>
      </w:rPr>
    </w:lvl>
    <w:lvl w:ilvl="1" w:tplc="7B643CAE">
      <w:numFmt w:val="bullet"/>
      <w:lvlText w:val="–"/>
      <w:lvlJc w:val="left"/>
      <w:pPr>
        <w:tabs>
          <w:tab w:val="num" w:pos="1440"/>
        </w:tabs>
        <w:ind w:left="1440" w:hanging="360"/>
      </w:pPr>
      <w:rPr>
        <w:rFonts w:ascii="Arial" w:hAnsi="Arial" w:hint="default"/>
      </w:rPr>
    </w:lvl>
    <w:lvl w:ilvl="2" w:tplc="3C32A5B0">
      <w:numFmt w:val="bullet"/>
      <w:lvlText w:val="•"/>
      <w:lvlJc w:val="left"/>
      <w:pPr>
        <w:tabs>
          <w:tab w:val="num" w:pos="2160"/>
        </w:tabs>
        <w:ind w:left="2160" w:hanging="360"/>
      </w:pPr>
      <w:rPr>
        <w:rFonts w:ascii="Arial" w:hAnsi="Arial" w:hint="default"/>
      </w:rPr>
    </w:lvl>
    <w:lvl w:ilvl="3" w:tplc="D3284F50" w:tentative="1">
      <w:start w:val="1"/>
      <w:numFmt w:val="bullet"/>
      <w:lvlText w:val="•"/>
      <w:lvlJc w:val="left"/>
      <w:pPr>
        <w:tabs>
          <w:tab w:val="num" w:pos="2880"/>
        </w:tabs>
        <w:ind w:left="2880" w:hanging="360"/>
      </w:pPr>
      <w:rPr>
        <w:rFonts w:ascii="Arial" w:hAnsi="Arial" w:hint="default"/>
      </w:rPr>
    </w:lvl>
    <w:lvl w:ilvl="4" w:tplc="2A4C335C" w:tentative="1">
      <w:start w:val="1"/>
      <w:numFmt w:val="bullet"/>
      <w:lvlText w:val="•"/>
      <w:lvlJc w:val="left"/>
      <w:pPr>
        <w:tabs>
          <w:tab w:val="num" w:pos="3600"/>
        </w:tabs>
        <w:ind w:left="3600" w:hanging="360"/>
      </w:pPr>
      <w:rPr>
        <w:rFonts w:ascii="Arial" w:hAnsi="Arial" w:hint="default"/>
      </w:rPr>
    </w:lvl>
    <w:lvl w:ilvl="5" w:tplc="98A0AC70" w:tentative="1">
      <w:start w:val="1"/>
      <w:numFmt w:val="bullet"/>
      <w:lvlText w:val="•"/>
      <w:lvlJc w:val="left"/>
      <w:pPr>
        <w:tabs>
          <w:tab w:val="num" w:pos="4320"/>
        </w:tabs>
        <w:ind w:left="4320" w:hanging="360"/>
      </w:pPr>
      <w:rPr>
        <w:rFonts w:ascii="Arial" w:hAnsi="Arial" w:hint="default"/>
      </w:rPr>
    </w:lvl>
    <w:lvl w:ilvl="6" w:tplc="B046F96A" w:tentative="1">
      <w:start w:val="1"/>
      <w:numFmt w:val="bullet"/>
      <w:lvlText w:val="•"/>
      <w:lvlJc w:val="left"/>
      <w:pPr>
        <w:tabs>
          <w:tab w:val="num" w:pos="5040"/>
        </w:tabs>
        <w:ind w:left="5040" w:hanging="360"/>
      </w:pPr>
      <w:rPr>
        <w:rFonts w:ascii="Arial" w:hAnsi="Arial" w:hint="default"/>
      </w:rPr>
    </w:lvl>
    <w:lvl w:ilvl="7" w:tplc="DB9EC826" w:tentative="1">
      <w:start w:val="1"/>
      <w:numFmt w:val="bullet"/>
      <w:lvlText w:val="•"/>
      <w:lvlJc w:val="left"/>
      <w:pPr>
        <w:tabs>
          <w:tab w:val="num" w:pos="5760"/>
        </w:tabs>
        <w:ind w:left="5760" w:hanging="360"/>
      </w:pPr>
      <w:rPr>
        <w:rFonts w:ascii="Arial" w:hAnsi="Arial" w:hint="default"/>
      </w:rPr>
    </w:lvl>
    <w:lvl w:ilvl="8" w:tplc="D2E2E5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95411"/>
    <w:multiLevelType w:val="hybridMultilevel"/>
    <w:tmpl w:val="A1C2105A"/>
    <w:lvl w:ilvl="0" w:tplc="C114A5A4">
      <w:start w:val="1"/>
      <w:numFmt w:val="bullet"/>
      <w:lvlText w:val="•"/>
      <w:lvlJc w:val="left"/>
      <w:pPr>
        <w:tabs>
          <w:tab w:val="num" w:pos="720"/>
        </w:tabs>
        <w:ind w:left="720" w:hanging="360"/>
      </w:pPr>
      <w:rPr>
        <w:rFonts w:ascii="Arial" w:hAnsi="Arial" w:hint="default"/>
      </w:rPr>
    </w:lvl>
    <w:lvl w:ilvl="1" w:tplc="35CC3606">
      <w:numFmt w:val="bullet"/>
      <w:lvlText w:val="•"/>
      <w:lvlJc w:val="left"/>
      <w:pPr>
        <w:tabs>
          <w:tab w:val="num" w:pos="1440"/>
        </w:tabs>
        <w:ind w:left="1440" w:hanging="360"/>
      </w:pPr>
      <w:rPr>
        <w:rFonts w:ascii="Arial" w:hAnsi="Arial" w:hint="default"/>
      </w:rPr>
    </w:lvl>
    <w:lvl w:ilvl="2" w:tplc="FEE67116" w:tentative="1">
      <w:start w:val="1"/>
      <w:numFmt w:val="bullet"/>
      <w:lvlText w:val="•"/>
      <w:lvlJc w:val="left"/>
      <w:pPr>
        <w:tabs>
          <w:tab w:val="num" w:pos="2160"/>
        </w:tabs>
        <w:ind w:left="2160" w:hanging="360"/>
      </w:pPr>
      <w:rPr>
        <w:rFonts w:ascii="Arial" w:hAnsi="Arial" w:hint="default"/>
      </w:rPr>
    </w:lvl>
    <w:lvl w:ilvl="3" w:tplc="F886B068" w:tentative="1">
      <w:start w:val="1"/>
      <w:numFmt w:val="bullet"/>
      <w:lvlText w:val="•"/>
      <w:lvlJc w:val="left"/>
      <w:pPr>
        <w:tabs>
          <w:tab w:val="num" w:pos="2880"/>
        </w:tabs>
        <w:ind w:left="2880" w:hanging="360"/>
      </w:pPr>
      <w:rPr>
        <w:rFonts w:ascii="Arial" w:hAnsi="Arial" w:hint="default"/>
      </w:rPr>
    </w:lvl>
    <w:lvl w:ilvl="4" w:tplc="0D3040C2" w:tentative="1">
      <w:start w:val="1"/>
      <w:numFmt w:val="bullet"/>
      <w:lvlText w:val="•"/>
      <w:lvlJc w:val="left"/>
      <w:pPr>
        <w:tabs>
          <w:tab w:val="num" w:pos="3600"/>
        </w:tabs>
        <w:ind w:left="3600" w:hanging="360"/>
      </w:pPr>
      <w:rPr>
        <w:rFonts w:ascii="Arial" w:hAnsi="Arial" w:hint="default"/>
      </w:rPr>
    </w:lvl>
    <w:lvl w:ilvl="5" w:tplc="AB767314" w:tentative="1">
      <w:start w:val="1"/>
      <w:numFmt w:val="bullet"/>
      <w:lvlText w:val="•"/>
      <w:lvlJc w:val="left"/>
      <w:pPr>
        <w:tabs>
          <w:tab w:val="num" w:pos="4320"/>
        </w:tabs>
        <w:ind w:left="4320" w:hanging="360"/>
      </w:pPr>
      <w:rPr>
        <w:rFonts w:ascii="Arial" w:hAnsi="Arial" w:hint="default"/>
      </w:rPr>
    </w:lvl>
    <w:lvl w:ilvl="6" w:tplc="5FA817EA" w:tentative="1">
      <w:start w:val="1"/>
      <w:numFmt w:val="bullet"/>
      <w:lvlText w:val="•"/>
      <w:lvlJc w:val="left"/>
      <w:pPr>
        <w:tabs>
          <w:tab w:val="num" w:pos="5040"/>
        </w:tabs>
        <w:ind w:left="5040" w:hanging="360"/>
      </w:pPr>
      <w:rPr>
        <w:rFonts w:ascii="Arial" w:hAnsi="Arial" w:hint="default"/>
      </w:rPr>
    </w:lvl>
    <w:lvl w:ilvl="7" w:tplc="BA8ACE26" w:tentative="1">
      <w:start w:val="1"/>
      <w:numFmt w:val="bullet"/>
      <w:lvlText w:val="•"/>
      <w:lvlJc w:val="left"/>
      <w:pPr>
        <w:tabs>
          <w:tab w:val="num" w:pos="5760"/>
        </w:tabs>
        <w:ind w:left="5760" w:hanging="360"/>
      </w:pPr>
      <w:rPr>
        <w:rFonts w:ascii="Arial" w:hAnsi="Arial" w:hint="default"/>
      </w:rPr>
    </w:lvl>
    <w:lvl w:ilvl="8" w:tplc="40266F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3449E4"/>
    <w:multiLevelType w:val="hybridMultilevel"/>
    <w:tmpl w:val="07C45C8C"/>
    <w:lvl w:ilvl="0" w:tplc="D15A0254">
      <w:start w:val="1"/>
      <w:numFmt w:val="bullet"/>
      <w:lvlText w:val="•"/>
      <w:lvlJc w:val="left"/>
      <w:pPr>
        <w:tabs>
          <w:tab w:val="num" w:pos="720"/>
        </w:tabs>
        <w:ind w:left="720" w:hanging="360"/>
      </w:pPr>
      <w:rPr>
        <w:rFonts w:ascii="Arial" w:hAnsi="Arial" w:hint="default"/>
      </w:rPr>
    </w:lvl>
    <w:lvl w:ilvl="1" w:tplc="ACB8A50C">
      <w:numFmt w:val="bullet"/>
      <w:lvlText w:val="–"/>
      <w:lvlJc w:val="left"/>
      <w:pPr>
        <w:tabs>
          <w:tab w:val="num" w:pos="1440"/>
        </w:tabs>
        <w:ind w:left="1440" w:hanging="360"/>
      </w:pPr>
      <w:rPr>
        <w:rFonts w:ascii="Arial" w:hAnsi="Arial" w:hint="default"/>
      </w:rPr>
    </w:lvl>
    <w:lvl w:ilvl="2" w:tplc="4B707444">
      <w:numFmt w:val="bullet"/>
      <w:lvlText w:val="•"/>
      <w:lvlJc w:val="left"/>
      <w:pPr>
        <w:tabs>
          <w:tab w:val="num" w:pos="2160"/>
        </w:tabs>
        <w:ind w:left="2160" w:hanging="360"/>
      </w:pPr>
      <w:rPr>
        <w:rFonts w:ascii="Arial" w:hAnsi="Arial" w:hint="default"/>
      </w:rPr>
    </w:lvl>
    <w:lvl w:ilvl="3" w:tplc="D3FE4B6E">
      <w:numFmt w:val="bullet"/>
      <w:lvlText w:val="–"/>
      <w:lvlJc w:val="left"/>
      <w:pPr>
        <w:tabs>
          <w:tab w:val="num" w:pos="2880"/>
        </w:tabs>
        <w:ind w:left="2880" w:hanging="360"/>
      </w:pPr>
      <w:rPr>
        <w:rFonts w:ascii="Arial" w:hAnsi="Arial" w:hint="default"/>
      </w:rPr>
    </w:lvl>
    <w:lvl w:ilvl="4" w:tplc="473408C8" w:tentative="1">
      <w:start w:val="1"/>
      <w:numFmt w:val="bullet"/>
      <w:lvlText w:val="•"/>
      <w:lvlJc w:val="left"/>
      <w:pPr>
        <w:tabs>
          <w:tab w:val="num" w:pos="3600"/>
        </w:tabs>
        <w:ind w:left="3600" w:hanging="360"/>
      </w:pPr>
      <w:rPr>
        <w:rFonts w:ascii="Arial" w:hAnsi="Arial" w:hint="default"/>
      </w:rPr>
    </w:lvl>
    <w:lvl w:ilvl="5" w:tplc="5D68EF52" w:tentative="1">
      <w:start w:val="1"/>
      <w:numFmt w:val="bullet"/>
      <w:lvlText w:val="•"/>
      <w:lvlJc w:val="left"/>
      <w:pPr>
        <w:tabs>
          <w:tab w:val="num" w:pos="4320"/>
        </w:tabs>
        <w:ind w:left="4320" w:hanging="360"/>
      </w:pPr>
      <w:rPr>
        <w:rFonts w:ascii="Arial" w:hAnsi="Arial" w:hint="default"/>
      </w:rPr>
    </w:lvl>
    <w:lvl w:ilvl="6" w:tplc="D1AC5DBC" w:tentative="1">
      <w:start w:val="1"/>
      <w:numFmt w:val="bullet"/>
      <w:lvlText w:val="•"/>
      <w:lvlJc w:val="left"/>
      <w:pPr>
        <w:tabs>
          <w:tab w:val="num" w:pos="5040"/>
        </w:tabs>
        <w:ind w:left="5040" w:hanging="360"/>
      </w:pPr>
      <w:rPr>
        <w:rFonts w:ascii="Arial" w:hAnsi="Arial" w:hint="default"/>
      </w:rPr>
    </w:lvl>
    <w:lvl w:ilvl="7" w:tplc="557602E6" w:tentative="1">
      <w:start w:val="1"/>
      <w:numFmt w:val="bullet"/>
      <w:lvlText w:val="•"/>
      <w:lvlJc w:val="left"/>
      <w:pPr>
        <w:tabs>
          <w:tab w:val="num" w:pos="5760"/>
        </w:tabs>
        <w:ind w:left="5760" w:hanging="360"/>
      </w:pPr>
      <w:rPr>
        <w:rFonts w:ascii="Arial" w:hAnsi="Arial" w:hint="default"/>
      </w:rPr>
    </w:lvl>
    <w:lvl w:ilvl="8" w:tplc="965486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6A3113"/>
    <w:multiLevelType w:val="hybridMultilevel"/>
    <w:tmpl w:val="B296B138"/>
    <w:lvl w:ilvl="0" w:tplc="3442316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B7A2F"/>
    <w:multiLevelType w:val="hybridMultilevel"/>
    <w:tmpl w:val="71F2D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A36491"/>
    <w:multiLevelType w:val="hybridMultilevel"/>
    <w:tmpl w:val="C8E6BC34"/>
    <w:lvl w:ilvl="0" w:tplc="89DA0C44">
      <w:start w:val="1"/>
      <w:numFmt w:val="bullet"/>
      <w:lvlText w:val="•"/>
      <w:lvlJc w:val="left"/>
      <w:pPr>
        <w:tabs>
          <w:tab w:val="num" w:pos="720"/>
        </w:tabs>
        <w:ind w:left="720" w:hanging="360"/>
      </w:pPr>
      <w:rPr>
        <w:rFonts w:ascii="Arial" w:hAnsi="Arial" w:hint="default"/>
      </w:rPr>
    </w:lvl>
    <w:lvl w:ilvl="1" w:tplc="0AF492DA">
      <w:numFmt w:val="bullet"/>
      <w:lvlText w:val="–"/>
      <w:lvlJc w:val="left"/>
      <w:pPr>
        <w:tabs>
          <w:tab w:val="num" w:pos="1440"/>
        </w:tabs>
        <w:ind w:left="1440" w:hanging="360"/>
      </w:pPr>
      <w:rPr>
        <w:rFonts w:ascii="Arial" w:hAnsi="Arial" w:hint="default"/>
      </w:rPr>
    </w:lvl>
    <w:lvl w:ilvl="2" w:tplc="360012D2">
      <w:numFmt w:val="bullet"/>
      <w:lvlText w:val="•"/>
      <w:lvlJc w:val="left"/>
      <w:pPr>
        <w:tabs>
          <w:tab w:val="num" w:pos="2160"/>
        </w:tabs>
        <w:ind w:left="2160" w:hanging="360"/>
      </w:pPr>
      <w:rPr>
        <w:rFonts w:ascii="Arial" w:hAnsi="Arial" w:hint="default"/>
      </w:rPr>
    </w:lvl>
    <w:lvl w:ilvl="3" w:tplc="7A58E53C" w:tentative="1">
      <w:start w:val="1"/>
      <w:numFmt w:val="bullet"/>
      <w:lvlText w:val="•"/>
      <w:lvlJc w:val="left"/>
      <w:pPr>
        <w:tabs>
          <w:tab w:val="num" w:pos="2880"/>
        </w:tabs>
        <w:ind w:left="2880" w:hanging="360"/>
      </w:pPr>
      <w:rPr>
        <w:rFonts w:ascii="Arial" w:hAnsi="Arial" w:hint="default"/>
      </w:rPr>
    </w:lvl>
    <w:lvl w:ilvl="4" w:tplc="BAC48388" w:tentative="1">
      <w:start w:val="1"/>
      <w:numFmt w:val="bullet"/>
      <w:lvlText w:val="•"/>
      <w:lvlJc w:val="left"/>
      <w:pPr>
        <w:tabs>
          <w:tab w:val="num" w:pos="3600"/>
        </w:tabs>
        <w:ind w:left="3600" w:hanging="360"/>
      </w:pPr>
      <w:rPr>
        <w:rFonts w:ascii="Arial" w:hAnsi="Arial" w:hint="default"/>
      </w:rPr>
    </w:lvl>
    <w:lvl w:ilvl="5" w:tplc="8E560262" w:tentative="1">
      <w:start w:val="1"/>
      <w:numFmt w:val="bullet"/>
      <w:lvlText w:val="•"/>
      <w:lvlJc w:val="left"/>
      <w:pPr>
        <w:tabs>
          <w:tab w:val="num" w:pos="4320"/>
        </w:tabs>
        <w:ind w:left="4320" w:hanging="360"/>
      </w:pPr>
      <w:rPr>
        <w:rFonts w:ascii="Arial" w:hAnsi="Arial" w:hint="default"/>
      </w:rPr>
    </w:lvl>
    <w:lvl w:ilvl="6" w:tplc="B7943C94" w:tentative="1">
      <w:start w:val="1"/>
      <w:numFmt w:val="bullet"/>
      <w:lvlText w:val="•"/>
      <w:lvlJc w:val="left"/>
      <w:pPr>
        <w:tabs>
          <w:tab w:val="num" w:pos="5040"/>
        </w:tabs>
        <w:ind w:left="5040" w:hanging="360"/>
      </w:pPr>
      <w:rPr>
        <w:rFonts w:ascii="Arial" w:hAnsi="Arial" w:hint="default"/>
      </w:rPr>
    </w:lvl>
    <w:lvl w:ilvl="7" w:tplc="422269AA" w:tentative="1">
      <w:start w:val="1"/>
      <w:numFmt w:val="bullet"/>
      <w:lvlText w:val="•"/>
      <w:lvlJc w:val="left"/>
      <w:pPr>
        <w:tabs>
          <w:tab w:val="num" w:pos="5760"/>
        </w:tabs>
        <w:ind w:left="5760" w:hanging="360"/>
      </w:pPr>
      <w:rPr>
        <w:rFonts w:ascii="Arial" w:hAnsi="Arial" w:hint="default"/>
      </w:rPr>
    </w:lvl>
    <w:lvl w:ilvl="8" w:tplc="FA5893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E5C1F"/>
    <w:multiLevelType w:val="hybridMultilevel"/>
    <w:tmpl w:val="D73E00F2"/>
    <w:lvl w:ilvl="0" w:tplc="D9E020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3A20960"/>
    <w:multiLevelType w:val="hybridMultilevel"/>
    <w:tmpl w:val="A6220ABC"/>
    <w:lvl w:ilvl="0" w:tplc="39AA9F84">
      <w:start w:val="1"/>
      <w:numFmt w:val="bullet"/>
      <w:lvlText w:val="•"/>
      <w:lvlJc w:val="left"/>
      <w:pPr>
        <w:tabs>
          <w:tab w:val="num" w:pos="720"/>
        </w:tabs>
        <w:ind w:left="720" w:hanging="360"/>
      </w:pPr>
      <w:rPr>
        <w:rFonts w:ascii="Arial" w:hAnsi="Arial" w:hint="default"/>
      </w:rPr>
    </w:lvl>
    <w:lvl w:ilvl="1" w:tplc="3A702C5C">
      <w:start w:val="1"/>
      <w:numFmt w:val="bullet"/>
      <w:lvlText w:val="•"/>
      <w:lvlJc w:val="left"/>
      <w:pPr>
        <w:tabs>
          <w:tab w:val="num" w:pos="1440"/>
        </w:tabs>
        <w:ind w:left="1440" w:hanging="360"/>
      </w:pPr>
      <w:rPr>
        <w:rFonts w:ascii="Arial" w:hAnsi="Arial" w:hint="default"/>
      </w:rPr>
    </w:lvl>
    <w:lvl w:ilvl="2" w:tplc="4E405A28">
      <w:start w:val="1"/>
      <w:numFmt w:val="bullet"/>
      <w:lvlText w:val="•"/>
      <w:lvlJc w:val="left"/>
      <w:pPr>
        <w:tabs>
          <w:tab w:val="num" w:pos="2160"/>
        </w:tabs>
        <w:ind w:left="2160" w:hanging="360"/>
      </w:pPr>
      <w:rPr>
        <w:rFonts w:ascii="Arial" w:hAnsi="Arial" w:hint="default"/>
      </w:rPr>
    </w:lvl>
    <w:lvl w:ilvl="3" w:tplc="086ED33E" w:tentative="1">
      <w:start w:val="1"/>
      <w:numFmt w:val="bullet"/>
      <w:lvlText w:val="•"/>
      <w:lvlJc w:val="left"/>
      <w:pPr>
        <w:tabs>
          <w:tab w:val="num" w:pos="2880"/>
        </w:tabs>
        <w:ind w:left="2880" w:hanging="360"/>
      </w:pPr>
      <w:rPr>
        <w:rFonts w:ascii="Arial" w:hAnsi="Arial" w:hint="default"/>
      </w:rPr>
    </w:lvl>
    <w:lvl w:ilvl="4" w:tplc="77DA55B4" w:tentative="1">
      <w:start w:val="1"/>
      <w:numFmt w:val="bullet"/>
      <w:lvlText w:val="•"/>
      <w:lvlJc w:val="left"/>
      <w:pPr>
        <w:tabs>
          <w:tab w:val="num" w:pos="3600"/>
        </w:tabs>
        <w:ind w:left="3600" w:hanging="360"/>
      </w:pPr>
      <w:rPr>
        <w:rFonts w:ascii="Arial" w:hAnsi="Arial" w:hint="default"/>
      </w:rPr>
    </w:lvl>
    <w:lvl w:ilvl="5" w:tplc="6C9646EE" w:tentative="1">
      <w:start w:val="1"/>
      <w:numFmt w:val="bullet"/>
      <w:lvlText w:val="•"/>
      <w:lvlJc w:val="left"/>
      <w:pPr>
        <w:tabs>
          <w:tab w:val="num" w:pos="4320"/>
        </w:tabs>
        <w:ind w:left="4320" w:hanging="360"/>
      </w:pPr>
      <w:rPr>
        <w:rFonts w:ascii="Arial" w:hAnsi="Arial" w:hint="default"/>
      </w:rPr>
    </w:lvl>
    <w:lvl w:ilvl="6" w:tplc="6F00E518" w:tentative="1">
      <w:start w:val="1"/>
      <w:numFmt w:val="bullet"/>
      <w:lvlText w:val="•"/>
      <w:lvlJc w:val="left"/>
      <w:pPr>
        <w:tabs>
          <w:tab w:val="num" w:pos="5040"/>
        </w:tabs>
        <w:ind w:left="5040" w:hanging="360"/>
      </w:pPr>
      <w:rPr>
        <w:rFonts w:ascii="Arial" w:hAnsi="Arial" w:hint="default"/>
      </w:rPr>
    </w:lvl>
    <w:lvl w:ilvl="7" w:tplc="8CA86D26" w:tentative="1">
      <w:start w:val="1"/>
      <w:numFmt w:val="bullet"/>
      <w:lvlText w:val="•"/>
      <w:lvlJc w:val="left"/>
      <w:pPr>
        <w:tabs>
          <w:tab w:val="num" w:pos="5760"/>
        </w:tabs>
        <w:ind w:left="5760" w:hanging="360"/>
      </w:pPr>
      <w:rPr>
        <w:rFonts w:ascii="Arial" w:hAnsi="Arial" w:hint="default"/>
      </w:rPr>
    </w:lvl>
    <w:lvl w:ilvl="8" w:tplc="A2483A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717C07"/>
    <w:multiLevelType w:val="hybridMultilevel"/>
    <w:tmpl w:val="F04AF662"/>
    <w:lvl w:ilvl="0" w:tplc="919EE65A">
      <w:start w:val="1"/>
      <w:numFmt w:val="bullet"/>
      <w:lvlText w:val=""/>
      <w:lvlJc w:val="left"/>
      <w:pPr>
        <w:tabs>
          <w:tab w:val="num" w:pos="152"/>
        </w:tabs>
        <w:ind w:left="152" w:hanging="360"/>
      </w:pPr>
      <w:rPr>
        <w:rFonts w:ascii="Symbol" w:hAnsi="Symbol" w:hint="default"/>
      </w:rPr>
    </w:lvl>
    <w:lvl w:ilvl="1" w:tplc="A6DE0A48">
      <w:numFmt w:val="bullet"/>
      <w:lvlText w:val="•"/>
      <w:lvlJc w:val="left"/>
      <w:pPr>
        <w:tabs>
          <w:tab w:val="num" w:pos="872"/>
        </w:tabs>
        <w:ind w:left="872" w:hanging="360"/>
      </w:pPr>
      <w:rPr>
        <w:rFonts w:ascii="Arial" w:hAnsi="Arial" w:hint="default"/>
      </w:rPr>
    </w:lvl>
    <w:lvl w:ilvl="2" w:tplc="ACA6CA6E" w:tentative="1">
      <w:start w:val="1"/>
      <w:numFmt w:val="bullet"/>
      <w:lvlText w:val=""/>
      <w:lvlJc w:val="left"/>
      <w:pPr>
        <w:tabs>
          <w:tab w:val="num" w:pos="1592"/>
        </w:tabs>
        <w:ind w:left="1592" w:hanging="360"/>
      </w:pPr>
      <w:rPr>
        <w:rFonts w:ascii="Symbol" w:hAnsi="Symbol" w:hint="default"/>
      </w:rPr>
    </w:lvl>
    <w:lvl w:ilvl="3" w:tplc="7FC05E5E" w:tentative="1">
      <w:start w:val="1"/>
      <w:numFmt w:val="bullet"/>
      <w:lvlText w:val=""/>
      <w:lvlJc w:val="left"/>
      <w:pPr>
        <w:tabs>
          <w:tab w:val="num" w:pos="2312"/>
        </w:tabs>
        <w:ind w:left="2312" w:hanging="360"/>
      </w:pPr>
      <w:rPr>
        <w:rFonts w:ascii="Symbol" w:hAnsi="Symbol" w:hint="default"/>
      </w:rPr>
    </w:lvl>
    <w:lvl w:ilvl="4" w:tplc="93F814DC" w:tentative="1">
      <w:start w:val="1"/>
      <w:numFmt w:val="bullet"/>
      <w:lvlText w:val=""/>
      <w:lvlJc w:val="left"/>
      <w:pPr>
        <w:tabs>
          <w:tab w:val="num" w:pos="3032"/>
        </w:tabs>
        <w:ind w:left="3032" w:hanging="360"/>
      </w:pPr>
      <w:rPr>
        <w:rFonts w:ascii="Symbol" w:hAnsi="Symbol" w:hint="default"/>
      </w:rPr>
    </w:lvl>
    <w:lvl w:ilvl="5" w:tplc="9FAAA9D6" w:tentative="1">
      <w:start w:val="1"/>
      <w:numFmt w:val="bullet"/>
      <w:lvlText w:val=""/>
      <w:lvlJc w:val="left"/>
      <w:pPr>
        <w:tabs>
          <w:tab w:val="num" w:pos="3752"/>
        </w:tabs>
        <w:ind w:left="3752" w:hanging="360"/>
      </w:pPr>
      <w:rPr>
        <w:rFonts w:ascii="Symbol" w:hAnsi="Symbol" w:hint="default"/>
      </w:rPr>
    </w:lvl>
    <w:lvl w:ilvl="6" w:tplc="F8846904" w:tentative="1">
      <w:start w:val="1"/>
      <w:numFmt w:val="bullet"/>
      <w:lvlText w:val=""/>
      <w:lvlJc w:val="left"/>
      <w:pPr>
        <w:tabs>
          <w:tab w:val="num" w:pos="4472"/>
        </w:tabs>
        <w:ind w:left="4472" w:hanging="360"/>
      </w:pPr>
      <w:rPr>
        <w:rFonts w:ascii="Symbol" w:hAnsi="Symbol" w:hint="default"/>
      </w:rPr>
    </w:lvl>
    <w:lvl w:ilvl="7" w:tplc="5E7E6EA4" w:tentative="1">
      <w:start w:val="1"/>
      <w:numFmt w:val="bullet"/>
      <w:lvlText w:val=""/>
      <w:lvlJc w:val="left"/>
      <w:pPr>
        <w:tabs>
          <w:tab w:val="num" w:pos="5192"/>
        </w:tabs>
        <w:ind w:left="5192" w:hanging="360"/>
      </w:pPr>
      <w:rPr>
        <w:rFonts w:ascii="Symbol" w:hAnsi="Symbol" w:hint="default"/>
      </w:rPr>
    </w:lvl>
    <w:lvl w:ilvl="8" w:tplc="210E7CDE" w:tentative="1">
      <w:start w:val="1"/>
      <w:numFmt w:val="bullet"/>
      <w:lvlText w:val=""/>
      <w:lvlJc w:val="left"/>
      <w:pPr>
        <w:tabs>
          <w:tab w:val="num" w:pos="5912"/>
        </w:tabs>
        <w:ind w:left="5912" w:hanging="360"/>
      </w:pPr>
      <w:rPr>
        <w:rFonts w:ascii="Symbol" w:hAnsi="Symbol" w:hint="default"/>
      </w:rPr>
    </w:lvl>
  </w:abstractNum>
  <w:abstractNum w:abstractNumId="17"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414FE"/>
    <w:multiLevelType w:val="hybridMultilevel"/>
    <w:tmpl w:val="F37C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F7460"/>
    <w:multiLevelType w:val="hybridMultilevel"/>
    <w:tmpl w:val="187EF61C"/>
    <w:lvl w:ilvl="0" w:tplc="DCA2DE48">
      <w:start w:val="1"/>
      <w:numFmt w:val="bullet"/>
      <w:lvlText w:val="•"/>
      <w:lvlJc w:val="left"/>
      <w:pPr>
        <w:tabs>
          <w:tab w:val="num" w:pos="720"/>
        </w:tabs>
        <w:ind w:left="720" w:hanging="360"/>
      </w:pPr>
      <w:rPr>
        <w:rFonts w:ascii="Arial" w:hAnsi="Arial" w:hint="default"/>
      </w:rPr>
    </w:lvl>
    <w:lvl w:ilvl="1" w:tplc="FD2056FE">
      <w:numFmt w:val="bullet"/>
      <w:lvlText w:val="–"/>
      <w:lvlJc w:val="left"/>
      <w:pPr>
        <w:tabs>
          <w:tab w:val="num" w:pos="1440"/>
        </w:tabs>
        <w:ind w:left="1440" w:hanging="360"/>
      </w:pPr>
      <w:rPr>
        <w:rFonts w:ascii="Arial" w:hAnsi="Arial" w:hint="default"/>
      </w:rPr>
    </w:lvl>
    <w:lvl w:ilvl="2" w:tplc="D7A8FC70">
      <w:start w:val="1"/>
      <w:numFmt w:val="bullet"/>
      <w:lvlText w:val="•"/>
      <w:lvlJc w:val="left"/>
      <w:pPr>
        <w:tabs>
          <w:tab w:val="num" w:pos="2160"/>
        </w:tabs>
        <w:ind w:left="2160" w:hanging="360"/>
      </w:pPr>
      <w:rPr>
        <w:rFonts w:ascii="Arial" w:hAnsi="Arial" w:hint="default"/>
      </w:rPr>
    </w:lvl>
    <w:lvl w:ilvl="3" w:tplc="2DA6B3C6">
      <w:start w:val="1"/>
      <w:numFmt w:val="bullet"/>
      <w:lvlText w:val="-"/>
      <w:lvlJc w:val="left"/>
      <w:pPr>
        <w:ind w:left="2880" w:hanging="360"/>
      </w:pPr>
      <w:rPr>
        <w:rFonts w:ascii="Times New Roman" w:eastAsia="MS Mincho" w:hAnsi="Times New Roman" w:cs="Times New Roman" w:hint="default"/>
      </w:rPr>
    </w:lvl>
    <w:lvl w:ilvl="4" w:tplc="5EE4A444" w:tentative="1">
      <w:start w:val="1"/>
      <w:numFmt w:val="bullet"/>
      <w:lvlText w:val="•"/>
      <w:lvlJc w:val="left"/>
      <w:pPr>
        <w:tabs>
          <w:tab w:val="num" w:pos="3600"/>
        </w:tabs>
        <w:ind w:left="3600" w:hanging="360"/>
      </w:pPr>
      <w:rPr>
        <w:rFonts w:ascii="Arial" w:hAnsi="Arial" w:hint="default"/>
      </w:rPr>
    </w:lvl>
    <w:lvl w:ilvl="5" w:tplc="741E275C" w:tentative="1">
      <w:start w:val="1"/>
      <w:numFmt w:val="bullet"/>
      <w:lvlText w:val="•"/>
      <w:lvlJc w:val="left"/>
      <w:pPr>
        <w:tabs>
          <w:tab w:val="num" w:pos="4320"/>
        </w:tabs>
        <w:ind w:left="4320" w:hanging="360"/>
      </w:pPr>
      <w:rPr>
        <w:rFonts w:ascii="Arial" w:hAnsi="Arial" w:hint="default"/>
      </w:rPr>
    </w:lvl>
    <w:lvl w:ilvl="6" w:tplc="4E90726C" w:tentative="1">
      <w:start w:val="1"/>
      <w:numFmt w:val="bullet"/>
      <w:lvlText w:val="•"/>
      <w:lvlJc w:val="left"/>
      <w:pPr>
        <w:tabs>
          <w:tab w:val="num" w:pos="5040"/>
        </w:tabs>
        <w:ind w:left="5040" w:hanging="360"/>
      </w:pPr>
      <w:rPr>
        <w:rFonts w:ascii="Arial" w:hAnsi="Arial" w:hint="default"/>
      </w:rPr>
    </w:lvl>
    <w:lvl w:ilvl="7" w:tplc="38F0E272" w:tentative="1">
      <w:start w:val="1"/>
      <w:numFmt w:val="bullet"/>
      <w:lvlText w:val="•"/>
      <w:lvlJc w:val="left"/>
      <w:pPr>
        <w:tabs>
          <w:tab w:val="num" w:pos="5760"/>
        </w:tabs>
        <w:ind w:left="5760" w:hanging="360"/>
      </w:pPr>
      <w:rPr>
        <w:rFonts w:ascii="Arial" w:hAnsi="Arial" w:hint="default"/>
      </w:rPr>
    </w:lvl>
    <w:lvl w:ilvl="8" w:tplc="E14A8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5361BE"/>
    <w:multiLevelType w:val="hybridMultilevel"/>
    <w:tmpl w:val="0FF0D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435838"/>
    <w:multiLevelType w:val="hybridMultilevel"/>
    <w:tmpl w:val="453C8CBA"/>
    <w:lvl w:ilvl="0" w:tplc="3D262CD4">
      <w:start w:val="1"/>
      <w:numFmt w:val="bullet"/>
      <w:lvlText w:val=""/>
      <w:lvlJc w:val="left"/>
      <w:pPr>
        <w:tabs>
          <w:tab w:val="num" w:pos="720"/>
        </w:tabs>
        <w:ind w:left="720" w:hanging="360"/>
      </w:pPr>
      <w:rPr>
        <w:rFonts w:ascii="Symbol" w:hAnsi="Symbol" w:hint="default"/>
      </w:rPr>
    </w:lvl>
    <w:lvl w:ilvl="1" w:tplc="45486944">
      <w:start w:val="1"/>
      <w:numFmt w:val="bullet"/>
      <w:lvlText w:val=""/>
      <w:lvlJc w:val="left"/>
      <w:pPr>
        <w:tabs>
          <w:tab w:val="num" w:pos="1440"/>
        </w:tabs>
        <w:ind w:left="1440" w:hanging="360"/>
      </w:pPr>
      <w:rPr>
        <w:rFonts w:ascii="Symbol" w:hAnsi="Symbol" w:hint="default"/>
      </w:rPr>
    </w:lvl>
    <w:lvl w:ilvl="2" w:tplc="BF9408EA" w:tentative="1">
      <w:start w:val="1"/>
      <w:numFmt w:val="bullet"/>
      <w:lvlText w:val=""/>
      <w:lvlJc w:val="left"/>
      <w:pPr>
        <w:tabs>
          <w:tab w:val="num" w:pos="2160"/>
        </w:tabs>
        <w:ind w:left="2160" w:hanging="360"/>
      </w:pPr>
      <w:rPr>
        <w:rFonts w:ascii="Symbol" w:hAnsi="Symbol" w:hint="default"/>
      </w:rPr>
    </w:lvl>
    <w:lvl w:ilvl="3" w:tplc="48822448" w:tentative="1">
      <w:start w:val="1"/>
      <w:numFmt w:val="bullet"/>
      <w:lvlText w:val=""/>
      <w:lvlJc w:val="left"/>
      <w:pPr>
        <w:tabs>
          <w:tab w:val="num" w:pos="2880"/>
        </w:tabs>
        <w:ind w:left="2880" w:hanging="360"/>
      </w:pPr>
      <w:rPr>
        <w:rFonts w:ascii="Symbol" w:hAnsi="Symbol" w:hint="default"/>
      </w:rPr>
    </w:lvl>
    <w:lvl w:ilvl="4" w:tplc="54C47654" w:tentative="1">
      <w:start w:val="1"/>
      <w:numFmt w:val="bullet"/>
      <w:lvlText w:val=""/>
      <w:lvlJc w:val="left"/>
      <w:pPr>
        <w:tabs>
          <w:tab w:val="num" w:pos="3600"/>
        </w:tabs>
        <w:ind w:left="3600" w:hanging="360"/>
      </w:pPr>
      <w:rPr>
        <w:rFonts w:ascii="Symbol" w:hAnsi="Symbol" w:hint="default"/>
      </w:rPr>
    </w:lvl>
    <w:lvl w:ilvl="5" w:tplc="EBF6F628" w:tentative="1">
      <w:start w:val="1"/>
      <w:numFmt w:val="bullet"/>
      <w:lvlText w:val=""/>
      <w:lvlJc w:val="left"/>
      <w:pPr>
        <w:tabs>
          <w:tab w:val="num" w:pos="4320"/>
        </w:tabs>
        <w:ind w:left="4320" w:hanging="360"/>
      </w:pPr>
      <w:rPr>
        <w:rFonts w:ascii="Symbol" w:hAnsi="Symbol" w:hint="default"/>
      </w:rPr>
    </w:lvl>
    <w:lvl w:ilvl="6" w:tplc="E33AB828" w:tentative="1">
      <w:start w:val="1"/>
      <w:numFmt w:val="bullet"/>
      <w:lvlText w:val=""/>
      <w:lvlJc w:val="left"/>
      <w:pPr>
        <w:tabs>
          <w:tab w:val="num" w:pos="5040"/>
        </w:tabs>
        <w:ind w:left="5040" w:hanging="360"/>
      </w:pPr>
      <w:rPr>
        <w:rFonts w:ascii="Symbol" w:hAnsi="Symbol" w:hint="default"/>
      </w:rPr>
    </w:lvl>
    <w:lvl w:ilvl="7" w:tplc="7D7EBF06" w:tentative="1">
      <w:start w:val="1"/>
      <w:numFmt w:val="bullet"/>
      <w:lvlText w:val=""/>
      <w:lvlJc w:val="left"/>
      <w:pPr>
        <w:tabs>
          <w:tab w:val="num" w:pos="5760"/>
        </w:tabs>
        <w:ind w:left="5760" w:hanging="360"/>
      </w:pPr>
      <w:rPr>
        <w:rFonts w:ascii="Symbol" w:hAnsi="Symbol" w:hint="default"/>
      </w:rPr>
    </w:lvl>
    <w:lvl w:ilvl="8" w:tplc="047E9B1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C4F11BA"/>
    <w:multiLevelType w:val="hybridMultilevel"/>
    <w:tmpl w:val="8DF2F4E0"/>
    <w:lvl w:ilvl="0" w:tplc="EB6C1846">
      <w:start w:val="1"/>
      <w:numFmt w:val="bullet"/>
      <w:lvlText w:val="•"/>
      <w:lvlJc w:val="left"/>
      <w:pPr>
        <w:tabs>
          <w:tab w:val="num" w:pos="720"/>
        </w:tabs>
        <w:ind w:left="720" w:hanging="360"/>
      </w:pPr>
      <w:rPr>
        <w:rFonts w:ascii="Arial" w:hAnsi="Arial" w:hint="default"/>
      </w:rPr>
    </w:lvl>
    <w:lvl w:ilvl="1" w:tplc="7CC8918C">
      <w:numFmt w:val="bullet"/>
      <w:lvlText w:val="–"/>
      <w:lvlJc w:val="left"/>
      <w:pPr>
        <w:tabs>
          <w:tab w:val="num" w:pos="1440"/>
        </w:tabs>
        <w:ind w:left="1440" w:hanging="360"/>
      </w:pPr>
      <w:rPr>
        <w:rFonts w:ascii="Arial" w:hAnsi="Arial" w:hint="default"/>
      </w:rPr>
    </w:lvl>
    <w:lvl w:ilvl="2" w:tplc="372AAE28">
      <w:numFmt w:val="bullet"/>
      <w:lvlText w:val="•"/>
      <w:lvlJc w:val="left"/>
      <w:pPr>
        <w:tabs>
          <w:tab w:val="num" w:pos="2160"/>
        </w:tabs>
        <w:ind w:left="2160" w:hanging="360"/>
      </w:pPr>
      <w:rPr>
        <w:rFonts w:ascii="Arial" w:hAnsi="Arial" w:hint="default"/>
      </w:rPr>
    </w:lvl>
    <w:lvl w:ilvl="3" w:tplc="D082C3E2" w:tentative="1">
      <w:start w:val="1"/>
      <w:numFmt w:val="bullet"/>
      <w:lvlText w:val="•"/>
      <w:lvlJc w:val="left"/>
      <w:pPr>
        <w:tabs>
          <w:tab w:val="num" w:pos="2880"/>
        </w:tabs>
        <w:ind w:left="2880" w:hanging="360"/>
      </w:pPr>
      <w:rPr>
        <w:rFonts w:ascii="Arial" w:hAnsi="Arial" w:hint="default"/>
      </w:rPr>
    </w:lvl>
    <w:lvl w:ilvl="4" w:tplc="6D62DAE2" w:tentative="1">
      <w:start w:val="1"/>
      <w:numFmt w:val="bullet"/>
      <w:lvlText w:val="•"/>
      <w:lvlJc w:val="left"/>
      <w:pPr>
        <w:tabs>
          <w:tab w:val="num" w:pos="3600"/>
        </w:tabs>
        <w:ind w:left="3600" w:hanging="360"/>
      </w:pPr>
      <w:rPr>
        <w:rFonts w:ascii="Arial" w:hAnsi="Arial" w:hint="default"/>
      </w:rPr>
    </w:lvl>
    <w:lvl w:ilvl="5" w:tplc="9528B126" w:tentative="1">
      <w:start w:val="1"/>
      <w:numFmt w:val="bullet"/>
      <w:lvlText w:val="•"/>
      <w:lvlJc w:val="left"/>
      <w:pPr>
        <w:tabs>
          <w:tab w:val="num" w:pos="4320"/>
        </w:tabs>
        <w:ind w:left="4320" w:hanging="360"/>
      </w:pPr>
      <w:rPr>
        <w:rFonts w:ascii="Arial" w:hAnsi="Arial" w:hint="default"/>
      </w:rPr>
    </w:lvl>
    <w:lvl w:ilvl="6" w:tplc="8CCC09FA" w:tentative="1">
      <w:start w:val="1"/>
      <w:numFmt w:val="bullet"/>
      <w:lvlText w:val="•"/>
      <w:lvlJc w:val="left"/>
      <w:pPr>
        <w:tabs>
          <w:tab w:val="num" w:pos="5040"/>
        </w:tabs>
        <w:ind w:left="5040" w:hanging="360"/>
      </w:pPr>
      <w:rPr>
        <w:rFonts w:ascii="Arial" w:hAnsi="Arial" w:hint="default"/>
      </w:rPr>
    </w:lvl>
    <w:lvl w:ilvl="7" w:tplc="1860855A" w:tentative="1">
      <w:start w:val="1"/>
      <w:numFmt w:val="bullet"/>
      <w:lvlText w:val="•"/>
      <w:lvlJc w:val="left"/>
      <w:pPr>
        <w:tabs>
          <w:tab w:val="num" w:pos="5760"/>
        </w:tabs>
        <w:ind w:left="5760" w:hanging="360"/>
      </w:pPr>
      <w:rPr>
        <w:rFonts w:ascii="Arial" w:hAnsi="Arial" w:hint="default"/>
      </w:rPr>
    </w:lvl>
    <w:lvl w:ilvl="8" w:tplc="73DAD0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1895E27"/>
    <w:multiLevelType w:val="hybridMultilevel"/>
    <w:tmpl w:val="8B4A28C0"/>
    <w:lvl w:ilvl="0" w:tplc="996E8334">
      <w:start w:val="1"/>
      <w:numFmt w:val="bullet"/>
      <w:lvlText w:val="•"/>
      <w:lvlJc w:val="left"/>
      <w:pPr>
        <w:tabs>
          <w:tab w:val="num" w:pos="720"/>
        </w:tabs>
        <w:ind w:left="720" w:hanging="360"/>
      </w:pPr>
      <w:rPr>
        <w:rFonts w:ascii="Arial" w:hAnsi="Arial" w:hint="default"/>
      </w:rPr>
    </w:lvl>
    <w:lvl w:ilvl="1" w:tplc="FC8C3118">
      <w:numFmt w:val="bullet"/>
      <w:lvlText w:val="–"/>
      <w:lvlJc w:val="left"/>
      <w:pPr>
        <w:tabs>
          <w:tab w:val="num" w:pos="1440"/>
        </w:tabs>
        <w:ind w:left="1440" w:hanging="360"/>
      </w:pPr>
      <w:rPr>
        <w:rFonts w:ascii="Arial" w:hAnsi="Arial" w:hint="default"/>
      </w:rPr>
    </w:lvl>
    <w:lvl w:ilvl="2" w:tplc="D2A466E6">
      <w:numFmt w:val="bullet"/>
      <w:lvlText w:val="•"/>
      <w:lvlJc w:val="left"/>
      <w:pPr>
        <w:tabs>
          <w:tab w:val="num" w:pos="2160"/>
        </w:tabs>
        <w:ind w:left="2160" w:hanging="360"/>
      </w:pPr>
      <w:rPr>
        <w:rFonts w:ascii="Arial" w:hAnsi="Arial" w:hint="default"/>
      </w:rPr>
    </w:lvl>
    <w:lvl w:ilvl="3" w:tplc="0320583E" w:tentative="1">
      <w:start w:val="1"/>
      <w:numFmt w:val="bullet"/>
      <w:lvlText w:val="•"/>
      <w:lvlJc w:val="left"/>
      <w:pPr>
        <w:tabs>
          <w:tab w:val="num" w:pos="2880"/>
        </w:tabs>
        <w:ind w:left="2880" w:hanging="360"/>
      </w:pPr>
      <w:rPr>
        <w:rFonts w:ascii="Arial" w:hAnsi="Arial" w:hint="default"/>
      </w:rPr>
    </w:lvl>
    <w:lvl w:ilvl="4" w:tplc="C78CE518" w:tentative="1">
      <w:start w:val="1"/>
      <w:numFmt w:val="bullet"/>
      <w:lvlText w:val="•"/>
      <w:lvlJc w:val="left"/>
      <w:pPr>
        <w:tabs>
          <w:tab w:val="num" w:pos="3600"/>
        </w:tabs>
        <w:ind w:left="3600" w:hanging="360"/>
      </w:pPr>
      <w:rPr>
        <w:rFonts w:ascii="Arial" w:hAnsi="Arial" w:hint="default"/>
      </w:rPr>
    </w:lvl>
    <w:lvl w:ilvl="5" w:tplc="62A245A0" w:tentative="1">
      <w:start w:val="1"/>
      <w:numFmt w:val="bullet"/>
      <w:lvlText w:val="•"/>
      <w:lvlJc w:val="left"/>
      <w:pPr>
        <w:tabs>
          <w:tab w:val="num" w:pos="4320"/>
        </w:tabs>
        <w:ind w:left="4320" w:hanging="360"/>
      </w:pPr>
      <w:rPr>
        <w:rFonts w:ascii="Arial" w:hAnsi="Arial" w:hint="default"/>
      </w:rPr>
    </w:lvl>
    <w:lvl w:ilvl="6" w:tplc="6B5AE3D0" w:tentative="1">
      <w:start w:val="1"/>
      <w:numFmt w:val="bullet"/>
      <w:lvlText w:val="•"/>
      <w:lvlJc w:val="left"/>
      <w:pPr>
        <w:tabs>
          <w:tab w:val="num" w:pos="5040"/>
        </w:tabs>
        <w:ind w:left="5040" w:hanging="360"/>
      </w:pPr>
      <w:rPr>
        <w:rFonts w:ascii="Arial" w:hAnsi="Arial" w:hint="default"/>
      </w:rPr>
    </w:lvl>
    <w:lvl w:ilvl="7" w:tplc="3E640AF2" w:tentative="1">
      <w:start w:val="1"/>
      <w:numFmt w:val="bullet"/>
      <w:lvlText w:val="•"/>
      <w:lvlJc w:val="left"/>
      <w:pPr>
        <w:tabs>
          <w:tab w:val="num" w:pos="5760"/>
        </w:tabs>
        <w:ind w:left="5760" w:hanging="360"/>
      </w:pPr>
      <w:rPr>
        <w:rFonts w:ascii="Arial" w:hAnsi="Arial" w:hint="default"/>
      </w:rPr>
    </w:lvl>
    <w:lvl w:ilvl="8" w:tplc="3E467D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BC4B1E"/>
    <w:multiLevelType w:val="hybridMultilevel"/>
    <w:tmpl w:val="FC4EE556"/>
    <w:lvl w:ilvl="0" w:tplc="C8D2B0EC">
      <w:start w:val="1"/>
      <w:numFmt w:val="bullet"/>
      <w:lvlText w:val="•"/>
      <w:lvlJc w:val="left"/>
      <w:pPr>
        <w:tabs>
          <w:tab w:val="num" w:pos="720"/>
        </w:tabs>
        <w:ind w:left="720" w:hanging="360"/>
      </w:pPr>
      <w:rPr>
        <w:rFonts w:ascii="Arial" w:hAnsi="Arial" w:hint="default"/>
      </w:rPr>
    </w:lvl>
    <w:lvl w:ilvl="1" w:tplc="CBD2C65C" w:tentative="1">
      <w:start w:val="1"/>
      <w:numFmt w:val="bullet"/>
      <w:lvlText w:val="•"/>
      <w:lvlJc w:val="left"/>
      <w:pPr>
        <w:tabs>
          <w:tab w:val="num" w:pos="1440"/>
        </w:tabs>
        <w:ind w:left="1440" w:hanging="360"/>
      </w:pPr>
      <w:rPr>
        <w:rFonts w:ascii="Arial" w:hAnsi="Arial" w:hint="default"/>
      </w:rPr>
    </w:lvl>
    <w:lvl w:ilvl="2" w:tplc="33C227AA">
      <w:start w:val="1"/>
      <w:numFmt w:val="bullet"/>
      <w:lvlText w:val="•"/>
      <w:lvlJc w:val="left"/>
      <w:pPr>
        <w:tabs>
          <w:tab w:val="num" w:pos="2160"/>
        </w:tabs>
        <w:ind w:left="2160" w:hanging="360"/>
      </w:pPr>
      <w:rPr>
        <w:rFonts w:ascii="Arial" w:hAnsi="Arial" w:hint="default"/>
      </w:rPr>
    </w:lvl>
    <w:lvl w:ilvl="3" w:tplc="F2843380" w:tentative="1">
      <w:start w:val="1"/>
      <w:numFmt w:val="bullet"/>
      <w:lvlText w:val="•"/>
      <w:lvlJc w:val="left"/>
      <w:pPr>
        <w:tabs>
          <w:tab w:val="num" w:pos="2880"/>
        </w:tabs>
        <w:ind w:left="2880" w:hanging="360"/>
      </w:pPr>
      <w:rPr>
        <w:rFonts w:ascii="Arial" w:hAnsi="Arial" w:hint="default"/>
      </w:rPr>
    </w:lvl>
    <w:lvl w:ilvl="4" w:tplc="235CEA12" w:tentative="1">
      <w:start w:val="1"/>
      <w:numFmt w:val="bullet"/>
      <w:lvlText w:val="•"/>
      <w:lvlJc w:val="left"/>
      <w:pPr>
        <w:tabs>
          <w:tab w:val="num" w:pos="3600"/>
        </w:tabs>
        <w:ind w:left="3600" w:hanging="360"/>
      </w:pPr>
      <w:rPr>
        <w:rFonts w:ascii="Arial" w:hAnsi="Arial" w:hint="default"/>
      </w:rPr>
    </w:lvl>
    <w:lvl w:ilvl="5" w:tplc="72C8D6C0" w:tentative="1">
      <w:start w:val="1"/>
      <w:numFmt w:val="bullet"/>
      <w:lvlText w:val="•"/>
      <w:lvlJc w:val="left"/>
      <w:pPr>
        <w:tabs>
          <w:tab w:val="num" w:pos="4320"/>
        </w:tabs>
        <w:ind w:left="4320" w:hanging="360"/>
      </w:pPr>
      <w:rPr>
        <w:rFonts w:ascii="Arial" w:hAnsi="Arial" w:hint="default"/>
      </w:rPr>
    </w:lvl>
    <w:lvl w:ilvl="6" w:tplc="2EC8F4D4" w:tentative="1">
      <w:start w:val="1"/>
      <w:numFmt w:val="bullet"/>
      <w:lvlText w:val="•"/>
      <w:lvlJc w:val="left"/>
      <w:pPr>
        <w:tabs>
          <w:tab w:val="num" w:pos="5040"/>
        </w:tabs>
        <w:ind w:left="5040" w:hanging="360"/>
      </w:pPr>
      <w:rPr>
        <w:rFonts w:ascii="Arial" w:hAnsi="Arial" w:hint="default"/>
      </w:rPr>
    </w:lvl>
    <w:lvl w:ilvl="7" w:tplc="314209D4" w:tentative="1">
      <w:start w:val="1"/>
      <w:numFmt w:val="bullet"/>
      <w:lvlText w:val="•"/>
      <w:lvlJc w:val="left"/>
      <w:pPr>
        <w:tabs>
          <w:tab w:val="num" w:pos="5760"/>
        </w:tabs>
        <w:ind w:left="5760" w:hanging="360"/>
      </w:pPr>
      <w:rPr>
        <w:rFonts w:ascii="Arial" w:hAnsi="Arial" w:hint="default"/>
      </w:rPr>
    </w:lvl>
    <w:lvl w:ilvl="8" w:tplc="65943E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5"/>
  </w:num>
  <w:num w:numId="12">
    <w:abstractNumId w:val="26"/>
  </w:num>
  <w:num w:numId="13">
    <w:abstractNumId w:val="0"/>
  </w:num>
  <w:num w:numId="14">
    <w:abstractNumId w:val="20"/>
  </w:num>
  <w:num w:numId="15">
    <w:abstractNumId w:val="12"/>
  </w:num>
  <w:num w:numId="16">
    <w:abstractNumId w:val="4"/>
  </w:num>
  <w:num w:numId="17">
    <w:abstractNumId w:val="23"/>
  </w:num>
  <w:num w:numId="18">
    <w:abstractNumId w:val="13"/>
  </w:num>
  <w:num w:numId="19">
    <w:abstractNumId w:val="18"/>
  </w:num>
  <w:num w:numId="20">
    <w:abstractNumId w:val="6"/>
  </w:num>
  <w:num w:numId="21">
    <w:abstractNumId w:val="15"/>
  </w:num>
  <w:num w:numId="22">
    <w:abstractNumId w:val="19"/>
  </w:num>
  <w:num w:numId="23">
    <w:abstractNumId w:val="11"/>
  </w:num>
  <w:num w:numId="24">
    <w:abstractNumId w:val="24"/>
  </w:num>
  <w:num w:numId="25">
    <w:abstractNumId w:val="28"/>
  </w:num>
  <w:num w:numId="26">
    <w:abstractNumId w:val="9"/>
  </w:num>
  <w:num w:numId="27">
    <w:abstractNumId w:val="31"/>
  </w:num>
  <w:num w:numId="28">
    <w:abstractNumId w:val="27"/>
  </w:num>
  <w:num w:numId="29">
    <w:abstractNumId w:val="17"/>
  </w:num>
  <w:num w:numId="30">
    <w:abstractNumId w:val="29"/>
  </w:num>
  <w:num w:numId="31">
    <w:abstractNumId w:val="8"/>
  </w:num>
  <w:num w:numId="32">
    <w:abstractNumId w:val="7"/>
  </w:num>
  <w:num w:numId="33">
    <w:abstractNumId w:val="10"/>
  </w:num>
  <w:num w:numId="34">
    <w:abstractNumId w:val="16"/>
  </w:num>
  <w:num w:numId="35">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845"/>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0DFD"/>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512"/>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1C27"/>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E45"/>
    <w:rsid w:val="00802FFF"/>
    <w:rsid w:val="00803808"/>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DC8"/>
    <w:rsid w:val="00880E4F"/>
    <w:rsid w:val="00880EAB"/>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391"/>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F6"/>
    <w:rsid w:val="00CE65FA"/>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8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ssc.esa.int/navipedia/index.php/GNSS_signal"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3</Pages>
  <Words>978</Words>
  <Characters>5580</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2021-03-31T03:43:00Z</dcterms:created>
  <dcterms:modified xsi:type="dcterms:W3CDTF">2021-04-02T19:12:00Z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